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DFF1D" w14:textId="45CF2CDE" w:rsidR="003E3914" w:rsidRDefault="000B5E1C" w:rsidP="003E3914">
      <w:pPr>
        <w:spacing w:after="0"/>
        <w:rPr>
          <w:b/>
          <w:bCs/>
          <w:sz w:val="28"/>
          <w:szCs w:val="28"/>
        </w:rPr>
      </w:pPr>
      <w:r>
        <w:rPr>
          <w:b/>
          <w:bCs/>
          <w:sz w:val="28"/>
          <w:szCs w:val="28"/>
        </w:rPr>
        <w:t>Who is lonely in the EU’s loneli</w:t>
      </w:r>
      <w:r w:rsidR="00E26BA1">
        <w:rPr>
          <w:b/>
          <w:bCs/>
          <w:sz w:val="28"/>
          <w:szCs w:val="28"/>
        </w:rPr>
        <w:t>est</w:t>
      </w:r>
      <w:r>
        <w:rPr>
          <w:b/>
          <w:bCs/>
          <w:sz w:val="28"/>
          <w:szCs w:val="28"/>
        </w:rPr>
        <w:t xml:space="preserve"> nation</w:t>
      </w:r>
      <w:r w:rsidR="00D36F8B" w:rsidRPr="00742E3A">
        <w:rPr>
          <w:b/>
          <w:bCs/>
          <w:sz w:val="28"/>
          <w:szCs w:val="28"/>
        </w:rPr>
        <w:t xml:space="preserve">? </w:t>
      </w:r>
    </w:p>
    <w:p w14:paraId="4E2CB862" w14:textId="58007EFA" w:rsidR="002D36A3" w:rsidRDefault="00D36F8B" w:rsidP="003E3914">
      <w:pPr>
        <w:spacing w:after="0"/>
        <w:rPr>
          <w:sz w:val="28"/>
          <w:szCs w:val="28"/>
        </w:rPr>
      </w:pPr>
      <w:r w:rsidRPr="00C87B66">
        <w:rPr>
          <w:sz w:val="28"/>
          <w:szCs w:val="28"/>
        </w:rPr>
        <w:t>A post-pandemic examination of loneliness</w:t>
      </w:r>
      <w:r w:rsidR="00755487" w:rsidRPr="00C87B66">
        <w:rPr>
          <w:sz w:val="28"/>
          <w:szCs w:val="28"/>
        </w:rPr>
        <w:t xml:space="preserve"> among the adult population in Ireland, and </w:t>
      </w:r>
      <w:r w:rsidR="003E3914" w:rsidRPr="00C87B66">
        <w:rPr>
          <w:sz w:val="28"/>
          <w:szCs w:val="28"/>
        </w:rPr>
        <w:t>associations with</w:t>
      </w:r>
      <w:r w:rsidR="00755487" w:rsidRPr="00C87B66">
        <w:rPr>
          <w:sz w:val="28"/>
          <w:szCs w:val="28"/>
        </w:rPr>
        <w:t xml:space="preserve"> </w:t>
      </w:r>
      <w:r w:rsidRPr="00C87B66">
        <w:rPr>
          <w:sz w:val="28"/>
          <w:szCs w:val="28"/>
        </w:rPr>
        <w:t>mental health</w:t>
      </w:r>
      <w:r w:rsidR="00FD4594">
        <w:rPr>
          <w:sz w:val="28"/>
          <w:szCs w:val="28"/>
        </w:rPr>
        <w:t xml:space="preserve"> </w:t>
      </w:r>
    </w:p>
    <w:p w14:paraId="54B8BECF" w14:textId="77777777" w:rsidR="00CC1253" w:rsidRDefault="00CC1253" w:rsidP="003E3914">
      <w:pPr>
        <w:spacing w:after="0"/>
        <w:rPr>
          <w:sz w:val="28"/>
          <w:szCs w:val="28"/>
        </w:rPr>
      </w:pPr>
    </w:p>
    <w:p w14:paraId="2B933DF7" w14:textId="57341AA8" w:rsidR="00CC1253" w:rsidRDefault="00CC1253" w:rsidP="003E3914">
      <w:pPr>
        <w:spacing w:after="0"/>
        <w:rPr>
          <w:sz w:val="24"/>
          <w:szCs w:val="24"/>
        </w:rPr>
      </w:pPr>
      <w:r w:rsidRPr="00CC1253">
        <w:rPr>
          <w:sz w:val="24"/>
          <w:szCs w:val="24"/>
        </w:rPr>
        <w:t>Dr Gretta Mohan</w:t>
      </w:r>
    </w:p>
    <w:p w14:paraId="70997439" w14:textId="77777777" w:rsidR="00DB7427" w:rsidRDefault="00DB7427" w:rsidP="003E3914">
      <w:pPr>
        <w:spacing w:after="0"/>
        <w:rPr>
          <w:sz w:val="24"/>
          <w:szCs w:val="24"/>
        </w:rPr>
      </w:pPr>
    </w:p>
    <w:p w14:paraId="61EA060C" w14:textId="20411105" w:rsidR="00DB7427" w:rsidRPr="00DB7427" w:rsidRDefault="00BE715C" w:rsidP="00BE715C">
      <w:pPr>
        <w:spacing w:after="0"/>
        <w:jc w:val="center"/>
        <w:rPr>
          <w:sz w:val="24"/>
          <w:szCs w:val="24"/>
        </w:rPr>
      </w:pPr>
      <w:r>
        <w:rPr>
          <w:sz w:val="24"/>
          <w:szCs w:val="24"/>
        </w:rPr>
        <w:t>­</w:t>
      </w:r>
      <w:r w:rsidR="00DB7427">
        <w:rPr>
          <w:sz w:val="24"/>
          <w:szCs w:val="24"/>
        </w:rPr>
        <w:t xml:space="preserve"> </w:t>
      </w:r>
      <w:r w:rsidR="00DB7427" w:rsidRPr="00DB7427">
        <w:rPr>
          <w:sz w:val="24"/>
          <w:szCs w:val="24"/>
        </w:rPr>
        <w:t>DRAFT MANUSCRIPT</w:t>
      </w:r>
      <w:r>
        <w:rPr>
          <w:sz w:val="24"/>
          <w:szCs w:val="24"/>
        </w:rPr>
        <w:t xml:space="preserve"> </w:t>
      </w:r>
      <w:r w:rsidR="0048383D">
        <w:rPr>
          <w:sz w:val="24"/>
          <w:szCs w:val="24"/>
        </w:rPr>
        <w:t>-</w:t>
      </w:r>
      <w:r>
        <w:rPr>
          <w:sz w:val="24"/>
          <w:szCs w:val="24"/>
        </w:rPr>
        <w:t xml:space="preserve"> </w:t>
      </w:r>
      <w:r w:rsidR="00DC6757">
        <w:rPr>
          <w:sz w:val="24"/>
          <w:szCs w:val="24"/>
        </w:rPr>
        <w:t>March</w:t>
      </w:r>
      <w:r>
        <w:rPr>
          <w:sz w:val="24"/>
          <w:szCs w:val="24"/>
        </w:rPr>
        <w:t xml:space="preserve"> 2025 ­</w:t>
      </w:r>
    </w:p>
    <w:p w14:paraId="6349AAC0" w14:textId="77777777" w:rsidR="003E3914" w:rsidRPr="00433187" w:rsidRDefault="003E3914" w:rsidP="00D70813">
      <w:pPr>
        <w:spacing w:line="360" w:lineRule="auto"/>
        <w:rPr>
          <w:rFonts w:ascii="Bunchló" w:hAnsi="Bunchló"/>
        </w:rPr>
      </w:pPr>
    </w:p>
    <w:p w14:paraId="2F53680A" w14:textId="584A21B4" w:rsidR="0062141A" w:rsidRPr="00AD597A" w:rsidRDefault="0062141A" w:rsidP="00D70813">
      <w:pPr>
        <w:spacing w:line="360" w:lineRule="auto"/>
        <w:rPr>
          <w:b/>
          <w:bCs/>
          <w:sz w:val="24"/>
          <w:szCs w:val="24"/>
        </w:rPr>
      </w:pPr>
      <w:r w:rsidRPr="00AD597A">
        <w:rPr>
          <w:b/>
          <w:bCs/>
          <w:sz w:val="24"/>
          <w:szCs w:val="24"/>
        </w:rPr>
        <w:t>Abstract</w:t>
      </w:r>
    </w:p>
    <w:p w14:paraId="33240148" w14:textId="62CB1117" w:rsidR="00650F24" w:rsidRPr="00AD597A" w:rsidRDefault="00650F24" w:rsidP="00D70813">
      <w:pPr>
        <w:spacing w:line="360" w:lineRule="auto"/>
        <w:rPr>
          <w:sz w:val="24"/>
          <w:szCs w:val="24"/>
        </w:rPr>
      </w:pPr>
      <w:r w:rsidRPr="00AD597A">
        <w:rPr>
          <w:sz w:val="24"/>
          <w:szCs w:val="24"/>
        </w:rPr>
        <w:t xml:space="preserve">This paper investigates the prevalence and correlates of loneliness in Ireland, a nation identified as having the highest reported rate of loneliness within the European Union in a 2022 survey. While existing Irish research on loneliness has primarily focused on older populations and, to a lesser extent, young people, this study addresses a critical gap by examining loneliness across the entire adult population. Utilising nationally representative cross-sectional data from the </w:t>
      </w:r>
      <w:r w:rsidRPr="00AD597A">
        <w:rPr>
          <w:i/>
          <w:iCs/>
          <w:sz w:val="24"/>
          <w:szCs w:val="24"/>
        </w:rPr>
        <w:t>Healthy Ireland</w:t>
      </w:r>
      <w:r w:rsidRPr="00AD597A">
        <w:rPr>
          <w:sz w:val="24"/>
          <w:szCs w:val="24"/>
        </w:rPr>
        <w:t xml:space="preserve"> initiative</w:t>
      </w:r>
      <w:r w:rsidRPr="00644BFD">
        <w:rPr>
          <w:sz w:val="24"/>
          <w:szCs w:val="24"/>
        </w:rPr>
        <w:t>, collected in 2021</w:t>
      </w:r>
      <w:r w:rsidRPr="00AD597A">
        <w:rPr>
          <w:sz w:val="24"/>
          <w:szCs w:val="24"/>
        </w:rPr>
        <w:t xml:space="preserve"> and 2023, this research explores the demographic and psychosocial factors associated with loneliness and its impact on mental health and quality of life. </w:t>
      </w:r>
    </w:p>
    <w:p w14:paraId="242F6821" w14:textId="44DDAB21" w:rsidR="00177FC5" w:rsidRDefault="00B619ED" w:rsidP="00D70813">
      <w:pPr>
        <w:spacing w:line="360" w:lineRule="auto"/>
        <w:rPr>
          <w:sz w:val="24"/>
          <w:szCs w:val="24"/>
        </w:rPr>
      </w:pPr>
      <w:r>
        <w:rPr>
          <w:sz w:val="24"/>
          <w:szCs w:val="24"/>
        </w:rPr>
        <w:t xml:space="preserve">In 2021, 5.9% </w:t>
      </w:r>
      <w:r w:rsidRPr="00AD597A">
        <w:rPr>
          <w:sz w:val="24"/>
          <w:szCs w:val="24"/>
        </w:rPr>
        <w:t xml:space="preserve">of respondents </w:t>
      </w:r>
      <w:r w:rsidR="00137928">
        <w:rPr>
          <w:sz w:val="24"/>
          <w:szCs w:val="24"/>
        </w:rPr>
        <w:t xml:space="preserve">reported </w:t>
      </w:r>
      <w:r w:rsidRPr="00AD597A">
        <w:rPr>
          <w:sz w:val="24"/>
          <w:szCs w:val="24"/>
        </w:rPr>
        <w:t>experienc</w:t>
      </w:r>
      <w:r w:rsidR="00137928">
        <w:rPr>
          <w:sz w:val="24"/>
          <w:szCs w:val="24"/>
        </w:rPr>
        <w:t>ing</w:t>
      </w:r>
      <w:r w:rsidRPr="00AD597A">
        <w:rPr>
          <w:sz w:val="24"/>
          <w:szCs w:val="24"/>
        </w:rPr>
        <w:t xml:space="preserve"> </w:t>
      </w:r>
      <w:r w:rsidR="00737C16">
        <w:rPr>
          <w:sz w:val="24"/>
          <w:szCs w:val="24"/>
        </w:rPr>
        <w:t>acute</w:t>
      </w:r>
      <w:r w:rsidRPr="00AD597A">
        <w:rPr>
          <w:sz w:val="24"/>
          <w:szCs w:val="24"/>
        </w:rPr>
        <w:t xml:space="preserve"> loneliness (</w:t>
      </w:r>
      <w:r w:rsidRPr="00B02C19">
        <w:rPr>
          <w:i/>
          <w:iCs/>
          <w:sz w:val="24"/>
          <w:szCs w:val="24"/>
        </w:rPr>
        <w:t>often/always</w:t>
      </w:r>
      <w:r w:rsidRPr="00AD597A">
        <w:rPr>
          <w:sz w:val="24"/>
          <w:szCs w:val="24"/>
        </w:rPr>
        <w:t>)</w:t>
      </w:r>
      <w:r>
        <w:rPr>
          <w:sz w:val="24"/>
          <w:szCs w:val="24"/>
        </w:rPr>
        <w:t>, with</w:t>
      </w:r>
      <w:r w:rsidRPr="00AD597A">
        <w:rPr>
          <w:sz w:val="24"/>
          <w:szCs w:val="24"/>
        </w:rPr>
        <w:t xml:space="preserve"> </w:t>
      </w:r>
      <w:r>
        <w:rPr>
          <w:sz w:val="24"/>
          <w:szCs w:val="24"/>
        </w:rPr>
        <w:t>20.2</w:t>
      </w:r>
      <w:r w:rsidRPr="00AD597A">
        <w:rPr>
          <w:sz w:val="24"/>
          <w:szCs w:val="24"/>
        </w:rPr>
        <w:t xml:space="preserve">% reporting </w:t>
      </w:r>
      <w:r w:rsidR="00D0002B">
        <w:rPr>
          <w:sz w:val="24"/>
          <w:szCs w:val="24"/>
        </w:rPr>
        <w:t xml:space="preserve">experiencing </w:t>
      </w:r>
      <w:r w:rsidRPr="00AD597A">
        <w:rPr>
          <w:sz w:val="24"/>
          <w:szCs w:val="24"/>
        </w:rPr>
        <w:t xml:space="preserve">loneliness </w:t>
      </w:r>
      <w:r w:rsidR="00D0002B" w:rsidRPr="00B02C19">
        <w:rPr>
          <w:i/>
          <w:iCs/>
          <w:sz w:val="24"/>
          <w:szCs w:val="24"/>
        </w:rPr>
        <w:t xml:space="preserve">at least </w:t>
      </w:r>
      <w:r w:rsidRPr="00B02C19">
        <w:rPr>
          <w:i/>
          <w:iCs/>
          <w:sz w:val="24"/>
          <w:szCs w:val="24"/>
        </w:rPr>
        <w:t>some of the time</w:t>
      </w:r>
      <w:r>
        <w:rPr>
          <w:sz w:val="24"/>
          <w:szCs w:val="24"/>
        </w:rPr>
        <w:t xml:space="preserve">. In </w:t>
      </w:r>
      <w:r w:rsidR="00400112">
        <w:rPr>
          <w:sz w:val="24"/>
          <w:szCs w:val="24"/>
        </w:rPr>
        <w:t>2023, these figures reduced to 3.9% and 13.7% respectively.</w:t>
      </w:r>
      <w:r>
        <w:rPr>
          <w:sz w:val="24"/>
          <w:szCs w:val="24"/>
        </w:rPr>
        <w:t xml:space="preserve"> </w:t>
      </w:r>
      <w:r w:rsidR="00650F24" w:rsidRPr="00AD597A">
        <w:rPr>
          <w:sz w:val="24"/>
          <w:szCs w:val="24"/>
        </w:rPr>
        <w:t xml:space="preserve">Regression analysis revealed strong associations between frequent loneliness and </w:t>
      </w:r>
      <w:r w:rsidR="00C90051">
        <w:rPr>
          <w:sz w:val="24"/>
          <w:szCs w:val="24"/>
        </w:rPr>
        <w:t xml:space="preserve">being female, </w:t>
      </w:r>
      <w:r w:rsidR="00650F24" w:rsidRPr="00AD597A">
        <w:rPr>
          <w:sz w:val="24"/>
          <w:szCs w:val="24"/>
        </w:rPr>
        <w:t>having few social supports</w:t>
      </w:r>
      <w:r w:rsidR="008D2294">
        <w:rPr>
          <w:sz w:val="24"/>
          <w:szCs w:val="24"/>
        </w:rPr>
        <w:t>, as well as</w:t>
      </w:r>
      <w:r w:rsidR="00650F24" w:rsidRPr="00AD597A">
        <w:rPr>
          <w:sz w:val="24"/>
          <w:szCs w:val="24"/>
        </w:rPr>
        <w:t xml:space="preserve"> probable mental health issues. </w:t>
      </w:r>
      <w:r w:rsidR="000720DF">
        <w:rPr>
          <w:sz w:val="24"/>
          <w:szCs w:val="24"/>
        </w:rPr>
        <w:t xml:space="preserve">There was also evidence that </w:t>
      </w:r>
      <w:r w:rsidR="00205850">
        <w:rPr>
          <w:sz w:val="24"/>
          <w:szCs w:val="24"/>
        </w:rPr>
        <w:t xml:space="preserve">younger people (15-29 years), </w:t>
      </w:r>
      <w:r w:rsidR="000720DF">
        <w:rPr>
          <w:sz w:val="24"/>
          <w:szCs w:val="24"/>
        </w:rPr>
        <w:t>those with a disability</w:t>
      </w:r>
      <w:r w:rsidR="00A167F9">
        <w:rPr>
          <w:sz w:val="24"/>
          <w:szCs w:val="24"/>
        </w:rPr>
        <w:t>,</w:t>
      </w:r>
      <w:r w:rsidR="00C111F9">
        <w:rPr>
          <w:sz w:val="24"/>
          <w:szCs w:val="24"/>
        </w:rPr>
        <w:t xml:space="preserve"> and</w:t>
      </w:r>
      <w:r w:rsidR="000720DF">
        <w:rPr>
          <w:sz w:val="24"/>
          <w:szCs w:val="24"/>
        </w:rPr>
        <w:t xml:space="preserve"> those not born in Ireland</w:t>
      </w:r>
      <w:r w:rsidR="00C111F9">
        <w:rPr>
          <w:sz w:val="24"/>
          <w:szCs w:val="24"/>
        </w:rPr>
        <w:t xml:space="preserve"> had greater likelihoods of experienc</w:t>
      </w:r>
      <w:r w:rsidR="0002517F">
        <w:rPr>
          <w:sz w:val="24"/>
          <w:szCs w:val="24"/>
        </w:rPr>
        <w:t>ing loneliness</w:t>
      </w:r>
      <w:r w:rsidR="00C111F9">
        <w:rPr>
          <w:sz w:val="24"/>
          <w:szCs w:val="24"/>
        </w:rPr>
        <w:t xml:space="preserve">. </w:t>
      </w:r>
      <w:r w:rsidR="00177FC5">
        <w:rPr>
          <w:sz w:val="24"/>
          <w:szCs w:val="24"/>
        </w:rPr>
        <w:t>Being married</w:t>
      </w:r>
      <w:r w:rsidR="008B1F85">
        <w:rPr>
          <w:sz w:val="24"/>
          <w:szCs w:val="24"/>
        </w:rPr>
        <w:t>, in good health</w:t>
      </w:r>
      <w:r w:rsidR="00A167F9">
        <w:rPr>
          <w:sz w:val="24"/>
          <w:szCs w:val="24"/>
        </w:rPr>
        <w:t>,</w:t>
      </w:r>
      <w:r w:rsidR="008B1F85">
        <w:rPr>
          <w:sz w:val="24"/>
          <w:szCs w:val="24"/>
        </w:rPr>
        <w:t xml:space="preserve"> and participating in social groups was</w:t>
      </w:r>
      <w:r w:rsidR="00650F24" w:rsidRPr="00AD597A">
        <w:rPr>
          <w:sz w:val="24"/>
          <w:szCs w:val="24"/>
        </w:rPr>
        <w:t xml:space="preserve"> </w:t>
      </w:r>
      <w:r w:rsidR="008B1F85">
        <w:rPr>
          <w:sz w:val="24"/>
          <w:szCs w:val="24"/>
        </w:rPr>
        <w:t>protective against</w:t>
      </w:r>
      <w:r w:rsidR="00650F24" w:rsidRPr="00AD597A">
        <w:rPr>
          <w:sz w:val="24"/>
          <w:szCs w:val="24"/>
        </w:rPr>
        <w:t xml:space="preserve"> loneliness. </w:t>
      </w:r>
    </w:p>
    <w:p w14:paraId="520DC4E5" w14:textId="2AFB88CC" w:rsidR="0007119A" w:rsidRPr="00AD597A" w:rsidRDefault="008D57AF" w:rsidP="00D70813">
      <w:pPr>
        <w:spacing w:line="360" w:lineRule="auto"/>
        <w:rPr>
          <w:sz w:val="24"/>
          <w:szCs w:val="24"/>
        </w:rPr>
      </w:pPr>
      <w:r>
        <w:rPr>
          <w:sz w:val="24"/>
          <w:szCs w:val="24"/>
        </w:rPr>
        <w:t xml:space="preserve">Acute experiences of loneliness were estimated to </w:t>
      </w:r>
      <w:r w:rsidR="00650F24" w:rsidRPr="00AD597A">
        <w:rPr>
          <w:sz w:val="24"/>
          <w:szCs w:val="24"/>
        </w:rPr>
        <w:t>increas</w:t>
      </w:r>
      <w:r>
        <w:rPr>
          <w:sz w:val="24"/>
          <w:szCs w:val="24"/>
        </w:rPr>
        <w:t>e</w:t>
      </w:r>
      <w:r w:rsidR="00650F24" w:rsidRPr="00AD597A">
        <w:rPr>
          <w:sz w:val="24"/>
          <w:szCs w:val="24"/>
        </w:rPr>
        <w:t xml:space="preserve"> the probability of mental health issues by 3</w:t>
      </w:r>
      <w:r>
        <w:rPr>
          <w:sz w:val="24"/>
          <w:szCs w:val="24"/>
        </w:rPr>
        <w:t>5</w:t>
      </w:r>
      <w:r w:rsidR="00650F24" w:rsidRPr="00AD597A">
        <w:rPr>
          <w:sz w:val="24"/>
          <w:szCs w:val="24"/>
        </w:rPr>
        <w:t>.</w:t>
      </w:r>
      <w:r w:rsidR="005348BA">
        <w:rPr>
          <w:sz w:val="24"/>
          <w:szCs w:val="24"/>
        </w:rPr>
        <w:t>6 percentage points</w:t>
      </w:r>
      <w:r w:rsidR="00650F24" w:rsidRPr="00AD597A">
        <w:rPr>
          <w:sz w:val="24"/>
          <w:szCs w:val="24"/>
        </w:rPr>
        <w:t>.</w:t>
      </w:r>
      <w:r w:rsidR="00177FC5">
        <w:rPr>
          <w:sz w:val="24"/>
          <w:szCs w:val="24"/>
        </w:rPr>
        <w:t xml:space="preserve"> </w:t>
      </w:r>
      <w:r w:rsidR="00650F24" w:rsidRPr="00AD597A">
        <w:rPr>
          <w:sz w:val="24"/>
          <w:szCs w:val="24"/>
        </w:rPr>
        <w:t xml:space="preserve">Both frequent and occasional loneliness were negatively associated with quality of life, with the association being stronger for </w:t>
      </w:r>
      <w:r w:rsidR="00644BFD">
        <w:rPr>
          <w:sz w:val="24"/>
          <w:szCs w:val="24"/>
        </w:rPr>
        <w:t>acute</w:t>
      </w:r>
      <w:r w:rsidR="00650F24" w:rsidRPr="00AD597A">
        <w:rPr>
          <w:sz w:val="24"/>
          <w:szCs w:val="24"/>
        </w:rPr>
        <w:t xml:space="preserve"> loneliness. These findings highlight the significant impact of loneliness on mental wellbeing and quality of life, emphasi</w:t>
      </w:r>
      <w:r w:rsidR="009C5E9B" w:rsidRPr="00AD597A">
        <w:rPr>
          <w:sz w:val="24"/>
          <w:szCs w:val="24"/>
        </w:rPr>
        <w:t>s</w:t>
      </w:r>
      <w:r w:rsidR="00650F24" w:rsidRPr="00AD597A">
        <w:rPr>
          <w:sz w:val="24"/>
          <w:szCs w:val="24"/>
        </w:rPr>
        <w:t>ing the need for targeted interventions and policy development to strengthen social connections and promote mental health across all age groups in Ireland.</w:t>
      </w:r>
    </w:p>
    <w:p w14:paraId="4FA56454" w14:textId="77777777" w:rsidR="0046064F" w:rsidRPr="00AD597A" w:rsidRDefault="0062141A" w:rsidP="0046064F">
      <w:pPr>
        <w:spacing w:line="360" w:lineRule="auto"/>
        <w:rPr>
          <w:b/>
          <w:bCs/>
          <w:sz w:val="24"/>
          <w:szCs w:val="24"/>
        </w:rPr>
      </w:pPr>
      <w:r w:rsidRPr="00AD597A">
        <w:rPr>
          <w:b/>
          <w:bCs/>
          <w:sz w:val="24"/>
          <w:szCs w:val="24"/>
        </w:rPr>
        <w:lastRenderedPageBreak/>
        <w:t>Keywords</w:t>
      </w:r>
    </w:p>
    <w:p w14:paraId="37AED1BE" w14:textId="77777777" w:rsidR="0046064F" w:rsidRPr="00AD597A" w:rsidRDefault="0046064F" w:rsidP="0046064F">
      <w:pPr>
        <w:spacing w:line="360" w:lineRule="auto"/>
        <w:rPr>
          <w:sz w:val="24"/>
          <w:szCs w:val="24"/>
        </w:rPr>
      </w:pPr>
      <w:r w:rsidRPr="00AD597A">
        <w:rPr>
          <w:sz w:val="24"/>
          <w:szCs w:val="24"/>
        </w:rPr>
        <w:t xml:space="preserve">Loneliness; </w:t>
      </w:r>
    </w:p>
    <w:p w14:paraId="510BC88E" w14:textId="77777777" w:rsidR="0046064F" w:rsidRPr="00AD597A" w:rsidRDefault="0046064F" w:rsidP="0046064F">
      <w:pPr>
        <w:spacing w:line="360" w:lineRule="auto"/>
        <w:rPr>
          <w:sz w:val="24"/>
          <w:szCs w:val="24"/>
        </w:rPr>
      </w:pPr>
      <w:r w:rsidRPr="00AD597A">
        <w:rPr>
          <w:sz w:val="24"/>
          <w:szCs w:val="24"/>
        </w:rPr>
        <w:t xml:space="preserve">Mental Health; </w:t>
      </w:r>
    </w:p>
    <w:p w14:paraId="13E6D10F" w14:textId="77777777" w:rsidR="0046064F" w:rsidRPr="00AD597A" w:rsidRDefault="0046064F" w:rsidP="0046064F">
      <w:pPr>
        <w:spacing w:line="360" w:lineRule="auto"/>
        <w:rPr>
          <w:sz w:val="24"/>
          <w:szCs w:val="24"/>
        </w:rPr>
      </w:pPr>
      <w:r w:rsidRPr="00AD597A">
        <w:rPr>
          <w:sz w:val="24"/>
          <w:szCs w:val="24"/>
        </w:rPr>
        <w:t xml:space="preserve">Quality of Life; </w:t>
      </w:r>
    </w:p>
    <w:p w14:paraId="54CD4508" w14:textId="4C19C6A7" w:rsidR="0046064F" w:rsidRPr="00AD597A" w:rsidRDefault="0046064F" w:rsidP="0046064F">
      <w:pPr>
        <w:spacing w:line="360" w:lineRule="auto"/>
        <w:rPr>
          <w:sz w:val="24"/>
          <w:szCs w:val="24"/>
        </w:rPr>
      </w:pPr>
      <w:r w:rsidRPr="00AD597A">
        <w:rPr>
          <w:sz w:val="24"/>
          <w:szCs w:val="24"/>
        </w:rPr>
        <w:t>Social Connectedness;</w:t>
      </w:r>
    </w:p>
    <w:p w14:paraId="4419B979" w14:textId="2FE73AF3" w:rsidR="0046064F" w:rsidRPr="00AD597A" w:rsidRDefault="0046064F" w:rsidP="0046064F">
      <w:pPr>
        <w:spacing w:line="360" w:lineRule="auto"/>
        <w:rPr>
          <w:b/>
          <w:bCs/>
          <w:sz w:val="24"/>
          <w:szCs w:val="24"/>
        </w:rPr>
      </w:pPr>
      <w:r w:rsidRPr="00AD597A">
        <w:rPr>
          <w:sz w:val="24"/>
          <w:szCs w:val="24"/>
        </w:rPr>
        <w:t xml:space="preserve">Ireland </w:t>
      </w:r>
    </w:p>
    <w:p w14:paraId="604C649E" w14:textId="77777777" w:rsidR="0062141A" w:rsidRPr="00AD597A" w:rsidRDefault="0062141A" w:rsidP="00D70813">
      <w:pPr>
        <w:spacing w:line="360" w:lineRule="auto"/>
        <w:rPr>
          <w:sz w:val="24"/>
          <w:szCs w:val="24"/>
        </w:rPr>
      </w:pPr>
    </w:p>
    <w:p w14:paraId="1033594B" w14:textId="77777777" w:rsidR="0062141A" w:rsidRPr="00AD597A" w:rsidRDefault="0062141A" w:rsidP="00D70813">
      <w:pPr>
        <w:spacing w:line="360" w:lineRule="auto"/>
        <w:rPr>
          <w:sz w:val="24"/>
          <w:szCs w:val="24"/>
        </w:rPr>
      </w:pPr>
    </w:p>
    <w:p w14:paraId="0BBC76A3" w14:textId="77777777" w:rsidR="0062141A" w:rsidRPr="00AD597A" w:rsidRDefault="0062141A">
      <w:pPr>
        <w:rPr>
          <w:sz w:val="24"/>
          <w:szCs w:val="24"/>
        </w:rPr>
      </w:pPr>
      <w:r w:rsidRPr="00AD597A">
        <w:rPr>
          <w:sz w:val="24"/>
          <w:szCs w:val="24"/>
        </w:rPr>
        <w:br w:type="page"/>
      </w:r>
    </w:p>
    <w:p w14:paraId="2C1A4F03" w14:textId="0C78423A" w:rsidR="0062141A" w:rsidRPr="00AD597A" w:rsidRDefault="0062141A" w:rsidP="00DD0DBB">
      <w:pPr>
        <w:pStyle w:val="ListParagraph"/>
        <w:numPr>
          <w:ilvl w:val="0"/>
          <w:numId w:val="5"/>
        </w:numPr>
        <w:spacing w:line="360" w:lineRule="auto"/>
        <w:rPr>
          <w:b/>
          <w:bCs/>
          <w:sz w:val="24"/>
          <w:szCs w:val="24"/>
        </w:rPr>
      </w:pPr>
      <w:r w:rsidRPr="00AD597A">
        <w:rPr>
          <w:b/>
          <w:bCs/>
          <w:sz w:val="24"/>
          <w:szCs w:val="24"/>
        </w:rPr>
        <w:lastRenderedPageBreak/>
        <w:t>Introduction</w:t>
      </w:r>
    </w:p>
    <w:p w14:paraId="03F1080A" w14:textId="00B6234E" w:rsidR="00B00583" w:rsidRPr="00AD597A" w:rsidRDefault="00B00583" w:rsidP="000F3BED">
      <w:pPr>
        <w:spacing w:line="360" w:lineRule="auto"/>
        <w:rPr>
          <w:sz w:val="24"/>
          <w:szCs w:val="24"/>
        </w:rPr>
      </w:pPr>
      <w:r w:rsidRPr="00AD597A">
        <w:rPr>
          <w:sz w:val="24"/>
          <w:szCs w:val="24"/>
        </w:rPr>
        <w:t xml:space="preserve">Ireland's designation as the EU's loneliest nation in the first Europe-wide survey on loneliness </w:t>
      </w:r>
      <w:r w:rsidRPr="00AD597A">
        <w:rPr>
          <w:sz w:val="24"/>
          <w:szCs w:val="24"/>
        </w:rPr>
        <w:fldChar w:fldCharType="begin" w:fldLock="1"/>
      </w:r>
      <w:r w:rsidR="004648C4">
        <w:rPr>
          <w:sz w:val="24"/>
          <w:szCs w:val="24"/>
        </w:rPr>
        <w:instrText>ADDIN CSL_CITATION {"citationItems":[{"id":"ITEM-1","itemData":{"abstract":"A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-1","issued":{"date-parts":[["2023"]]},"publisher":"European Commission","title":"Loneliness and social connectedness: insights from a new EU-wide survey","type":"book","volume":"JRC133351"},"uris":["http://www.mendeley.com/documents/?uuid=332dc588-cfef-41b3-9ee3-52cd9c2a5614"]}],"mendeley":{"formattedCitation":"(Berlingieri et al., 2023)","plainTextFormattedCitation":"(Berlingieri et al., 2023)","previouslyFormattedCitation":"(Berlingieri et al., 2023)"},"properties":{"noteIndex":0},"schema":"https://github.com/citation-style-language/schema/raw/master/csl-citation.json"}</w:instrText>
      </w:r>
      <w:r w:rsidRPr="00AD597A">
        <w:rPr>
          <w:sz w:val="24"/>
          <w:szCs w:val="24"/>
        </w:rPr>
        <w:fldChar w:fldCharType="separate"/>
      </w:r>
      <w:r w:rsidR="000443B6" w:rsidRPr="00A066FF">
        <w:rPr>
          <w:noProof/>
          <w:sz w:val="24"/>
          <w:szCs w:val="24"/>
        </w:rPr>
        <w:t>(Berlingieri et al., 2023)</w:t>
      </w:r>
      <w:r w:rsidRPr="00AD597A">
        <w:rPr>
          <w:sz w:val="24"/>
          <w:szCs w:val="24"/>
        </w:rPr>
        <w:fldChar w:fldCharType="end"/>
      </w:r>
      <w:r w:rsidRPr="00AD597A">
        <w:rPr>
          <w:sz w:val="24"/>
          <w:szCs w:val="24"/>
        </w:rPr>
        <w:t xml:space="preserve">, with 20% of the population reporting feeling lonely </w:t>
      </w:r>
      <w:r w:rsidRPr="00AD597A">
        <w:rPr>
          <w:i/>
          <w:iCs/>
          <w:sz w:val="24"/>
          <w:szCs w:val="24"/>
        </w:rPr>
        <w:t>most or all of the time</w:t>
      </w:r>
      <w:r w:rsidRPr="00AD597A">
        <w:rPr>
          <w:sz w:val="24"/>
          <w:szCs w:val="24"/>
        </w:rPr>
        <w:t xml:space="preserve"> in the previous four weeks (compared to the European average of 13%), has brought the once-taboo subject of loneliness to the forefront of public and policy discourse. Loneliness is defined as the discrepancy between desired and actual social relationships </w:t>
      </w:r>
      <w:r w:rsidR="00E36CF3" w:rsidRPr="00AD597A">
        <w:rPr>
          <w:sz w:val="24"/>
          <w:szCs w:val="24"/>
        </w:rPr>
        <w:fldChar w:fldCharType="begin" w:fldLock="1"/>
      </w:r>
      <w:r w:rsidR="008C3EDF">
        <w:rPr>
          <w:sz w:val="24"/>
          <w:szCs w:val="24"/>
        </w:rPr>
        <w:instrText>ADDIN CSL_CITATION {"citationItems":[{"id":"ITEM-1","itemData":{"ISBN":"9789292231361","ISSN":"00943061","PMID":"17209105","abstract":"Peplau, L. A., &amp; Perlman, D. (1982). Perspectives on loneliness. In L. A. Peplau &amp; D. Perlman (Eds.), Loneliness: A source- book of current theory, research and therapy (pp. 1–8). New York, NY: Wiley.","author":[{"dropping-particle":"","family":"Peplau","given":"Letitia Anne","non-dropping-particle":"","parse-names":false,"suffix":""},{"dropping-particle":"","family":"Perlman","given":"Daniel","non-dropping-particle":"","parse-names":false,"suffix":""}],"container-title":"Loneliness: A Sourcebook of Current Theory, Research and Therapy","id":"ITEM-1","issued":{"date-parts":[["1982"]]},"number-of-pages":"1-18","publisher":"John Wiley and Sons","publisher-place":"New York","title":"Perspectives on Loneliness","type":"book"},"uris":["http://www.mendeley.com/documents/?uuid=e473ea06-920e-45b7-b2f5-9b0a59d08e29"]}],"mendeley":{"formattedCitation":"(Peplau and Perlman, 1982)","plainTextFormattedCitation":"(Peplau and Perlman, 1982)","previouslyFormattedCitation":"(Peplau and Perlman, 1982)"},"properties":{"noteIndex":0},"schema":"https://github.com/citation-style-language/schema/raw/master/csl-citation.json"}</w:instrText>
      </w:r>
      <w:r w:rsidR="00E36CF3" w:rsidRPr="00AD597A">
        <w:rPr>
          <w:sz w:val="24"/>
          <w:szCs w:val="24"/>
        </w:rPr>
        <w:fldChar w:fldCharType="separate"/>
      </w:r>
      <w:r w:rsidR="00E36CF3" w:rsidRPr="00AD597A">
        <w:rPr>
          <w:noProof/>
          <w:sz w:val="24"/>
          <w:szCs w:val="24"/>
        </w:rPr>
        <w:t>(Peplau and Perlman, 1982)</w:t>
      </w:r>
      <w:r w:rsidR="00E36CF3" w:rsidRPr="00AD597A">
        <w:rPr>
          <w:sz w:val="24"/>
          <w:szCs w:val="24"/>
        </w:rPr>
        <w:fldChar w:fldCharType="end"/>
      </w:r>
      <w:r w:rsidR="00E36CF3" w:rsidRPr="00AD597A">
        <w:rPr>
          <w:sz w:val="24"/>
          <w:szCs w:val="24"/>
        </w:rPr>
        <w:t xml:space="preserve">. </w:t>
      </w:r>
      <w:r w:rsidRPr="00AD597A">
        <w:rPr>
          <w:sz w:val="24"/>
          <w:szCs w:val="24"/>
        </w:rPr>
        <w:t xml:space="preserve">This is closely related to the concept of social connection, which encompasses the multifaceted ways individuals interact and relate, including both the quantity and quality of time spent together, as well as perceptions of support </w:t>
      </w:r>
      <w:r w:rsidR="00E36CF3" w:rsidRPr="00AD597A">
        <w:rPr>
          <w:sz w:val="24"/>
          <w:szCs w:val="24"/>
        </w:rPr>
        <w:fldChar w:fldCharType="begin" w:fldLock="1"/>
      </w:r>
      <w:r w:rsidR="004648C4">
        <w:rPr>
          <w:sz w:val="24"/>
          <w:szCs w:val="24"/>
        </w:rPr>
        <w:instrText>ADDIN CSL_CITATION {"citationItems":[{"id":"ITEM-1","itemData":{"DOI":"https://doi.org/10.1787/f758bd20-en","author":[{"dropping-particle":"","family":"Mahoney","given":"Jessica","non-dropping-particle":"","parse-names":false,"suffix":""},{"dropping-particle":"","family":"Fleischer","given":"Lara","non-dropping-particle":"","parse-names":false,"suffix":""},{"dropping-particle":"","family":"Bottura","given":"Gaia","non-dropping-particle":"","parse-names":false,"suffix":""},{"dropping-particle":"","family":"Scrivens","given":"Kate","non-dropping-particle":"","parse-names":false,"suffix":""}],"id":"ITEM-1","issued":{"date-parts":[["2024"]]},"publisher":"OECD","title":"Measuring social connectedness in OECD countries A scoping review","type":"book"},"uris":["http://www.mendeley.com/documents/?uuid=00417ee4-180a-4a24-9567-49a85e0fea38"]}],"mendeley":{"formattedCitation":"(Mahoney et al., 2024)","plainTextFormattedCitation":"(Mahoney et al., 2024)","previouslyFormattedCitation":"(Mahoney et al., 2024)"},"properties":{"noteIndex":0},"schema":"https://github.com/citation-style-language/schema/raw/master/csl-citation.json"}</w:instrText>
      </w:r>
      <w:r w:rsidR="00E36CF3" w:rsidRPr="00AD597A">
        <w:rPr>
          <w:sz w:val="24"/>
          <w:szCs w:val="24"/>
        </w:rPr>
        <w:fldChar w:fldCharType="separate"/>
      </w:r>
      <w:r w:rsidR="00E36CF3" w:rsidRPr="00A066FF">
        <w:rPr>
          <w:noProof/>
          <w:sz w:val="24"/>
          <w:szCs w:val="24"/>
        </w:rPr>
        <w:t>(Mahoney et al., 2024)</w:t>
      </w:r>
      <w:r w:rsidR="00E36CF3" w:rsidRPr="00AD597A">
        <w:rPr>
          <w:sz w:val="24"/>
          <w:szCs w:val="24"/>
        </w:rPr>
        <w:fldChar w:fldCharType="end"/>
      </w:r>
      <w:r w:rsidR="00E36CF3" w:rsidRPr="00AD597A">
        <w:rPr>
          <w:sz w:val="24"/>
          <w:szCs w:val="24"/>
        </w:rPr>
        <w:t>.</w:t>
      </w:r>
    </w:p>
    <w:p w14:paraId="2D64B45D" w14:textId="144AF1CB" w:rsidR="000F3BED" w:rsidRPr="00AD597A" w:rsidRDefault="000F3BED" w:rsidP="000F3BED">
      <w:pPr>
        <w:spacing w:line="360" w:lineRule="auto"/>
        <w:rPr>
          <w:sz w:val="24"/>
          <w:szCs w:val="24"/>
        </w:rPr>
      </w:pPr>
      <w:r w:rsidRPr="00AD597A">
        <w:rPr>
          <w:sz w:val="24"/>
          <w:szCs w:val="24"/>
        </w:rPr>
        <w:t xml:space="preserve">While the recent survey results have brought renewed focus to this issue, the challenge of loneliness in Ireland is not a new phenomenon. As early as 1954, </w:t>
      </w:r>
      <w:r w:rsidR="00670C5F" w:rsidRPr="00AD597A">
        <w:rPr>
          <w:sz w:val="24"/>
          <w:szCs w:val="24"/>
        </w:rPr>
        <w:fldChar w:fldCharType="begin" w:fldLock="1"/>
      </w:r>
      <w:r w:rsidR="002716B7">
        <w:rPr>
          <w:sz w:val="24"/>
          <w:szCs w:val="24"/>
        </w:rPr>
        <w:instrText>ADDIN CSL_CITATION {"citationItems":[{"id":"ITEM-1","itemData":{"ISBN":"5555555555","author":[{"dropping-particle":"","family":"Geary","given":"R","non-dropping-particle":"","parse-names":false,"suffix":""}],"container-title":"Statistical and Social Inquiry Society of Ireland","id":"ITEM-1","issued":{"date-parts":[["1954"]]},"title":"The Family in Irish Census of Population Statistics","type":"article-journal"},"uris":["http://www.mendeley.com/documents/?uuid=9fe1a9be-61a3-40a8-a4ca-3fcaa9557a01"]}],"mendeley":{"formattedCitation":"(Geary, 1954)","manualFormatting":"Geary, (1954, p. 13)","plainTextFormattedCitation":"(Geary, 1954)","previouslyFormattedCitation":"(Geary, 1954)"},"properties":{"noteIndex":0},"schema":"https://github.com/citation-style-language/schema/raw/master/csl-citation.json"}</w:instrText>
      </w:r>
      <w:r w:rsidR="00670C5F" w:rsidRPr="00AD597A">
        <w:rPr>
          <w:sz w:val="24"/>
          <w:szCs w:val="24"/>
        </w:rPr>
        <w:fldChar w:fldCharType="separate"/>
      </w:r>
      <w:r w:rsidR="00670C5F" w:rsidRPr="00AD597A">
        <w:rPr>
          <w:noProof/>
          <w:sz w:val="24"/>
          <w:szCs w:val="24"/>
        </w:rPr>
        <w:t>Geary, (1954</w:t>
      </w:r>
      <w:r w:rsidR="00FF72E2" w:rsidRPr="00AD597A">
        <w:rPr>
          <w:noProof/>
          <w:sz w:val="24"/>
          <w:szCs w:val="24"/>
        </w:rPr>
        <w:t>, p. 13</w:t>
      </w:r>
      <w:r w:rsidR="00670C5F" w:rsidRPr="00AD597A">
        <w:rPr>
          <w:noProof/>
          <w:sz w:val="24"/>
          <w:szCs w:val="24"/>
        </w:rPr>
        <w:t>)</w:t>
      </w:r>
      <w:r w:rsidR="00670C5F" w:rsidRPr="00AD597A">
        <w:rPr>
          <w:sz w:val="24"/>
          <w:szCs w:val="24"/>
        </w:rPr>
        <w:fldChar w:fldCharType="end"/>
      </w:r>
      <w:r w:rsidR="00670C5F" w:rsidRPr="00AD597A">
        <w:rPr>
          <w:sz w:val="24"/>
          <w:szCs w:val="24"/>
        </w:rPr>
        <w:t xml:space="preserve"> </w:t>
      </w:r>
      <w:r w:rsidRPr="00AD597A">
        <w:rPr>
          <w:sz w:val="24"/>
          <w:szCs w:val="24"/>
        </w:rPr>
        <w:t xml:space="preserve">identified the </w:t>
      </w:r>
      <w:r w:rsidR="00FF72E2" w:rsidRPr="00AD597A">
        <w:rPr>
          <w:sz w:val="24"/>
          <w:szCs w:val="24"/>
        </w:rPr>
        <w:t>“</w:t>
      </w:r>
      <w:r w:rsidRPr="00AD597A">
        <w:rPr>
          <w:sz w:val="24"/>
          <w:szCs w:val="24"/>
        </w:rPr>
        <w:t>serious problem of loneliness as it affects elderly persons</w:t>
      </w:r>
      <w:r w:rsidR="00FF72E2" w:rsidRPr="00AD597A">
        <w:rPr>
          <w:sz w:val="24"/>
          <w:szCs w:val="24"/>
        </w:rPr>
        <w:t>”</w:t>
      </w:r>
      <w:r w:rsidRPr="00AD597A">
        <w:rPr>
          <w:sz w:val="24"/>
          <w:szCs w:val="24"/>
        </w:rPr>
        <w:t xml:space="preserve">, while </w:t>
      </w:r>
      <w:r w:rsidR="008847E1" w:rsidRPr="00AD597A">
        <w:rPr>
          <w:sz w:val="24"/>
          <w:szCs w:val="24"/>
        </w:rPr>
        <w:fldChar w:fldCharType="begin" w:fldLock="1"/>
      </w:r>
      <w:r w:rsidR="002716B7">
        <w:rPr>
          <w:sz w:val="24"/>
          <w:szCs w:val="24"/>
        </w:rPr>
        <w:instrText>ADDIN CSL_CITATION {"citationItems":[{"id":"ITEM-1","itemData":{"author":[{"dropping-particle":"","family":"Ward","given":"C","non-dropping-particle":"","parse-names":false,"suffix":""}],"container-title":"Statistical and Social Inquiry Society of Ireland","id":"ITEM-1","issue":"November","issued":{"date-parts":[["1968"]]},"title":"Living in a New Community: A Summary of Results of a Social Survey","type":"article-journal"},"uris":["http://www.mendeley.com/documents/?uuid=cfd4fcff-0569-4af2-ad7e-4fd2bf79da60"]}],"mendeley":{"formattedCitation":"(Ward, 1968)","manualFormatting":"Ward (1968)","plainTextFormattedCitation":"(Ward, 1968)","previouslyFormattedCitation":"(Ward, 1968)"},"properties":{"noteIndex":0},"schema":"https://github.com/citation-style-language/schema/raw/master/csl-citation.json"}</w:instrText>
      </w:r>
      <w:r w:rsidR="008847E1" w:rsidRPr="00AD597A">
        <w:rPr>
          <w:sz w:val="24"/>
          <w:szCs w:val="24"/>
        </w:rPr>
        <w:fldChar w:fldCharType="separate"/>
      </w:r>
      <w:r w:rsidR="008847E1" w:rsidRPr="00AD597A">
        <w:rPr>
          <w:noProof/>
          <w:sz w:val="24"/>
          <w:szCs w:val="24"/>
        </w:rPr>
        <w:t>Ward (1968)</w:t>
      </w:r>
      <w:r w:rsidR="008847E1" w:rsidRPr="00AD597A">
        <w:rPr>
          <w:sz w:val="24"/>
          <w:szCs w:val="24"/>
        </w:rPr>
        <w:fldChar w:fldCharType="end"/>
      </w:r>
      <w:r w:rsidR="008847E1" w:rsidRPr="00AD597A">
        <w:rPr>
          <w:sz w:val="24"/>
          <w:szCs w:val="24"/>
        </w:rPr>
        <w:t xml:space="preserve"> reported t</w:t>
      </w:r>
      <w:r w:rsidRPr="00AD597A">
        <w:rPr>
          <w:sz w:val="24"/>
          <w:szCs w:val="24"/>
        </w:rPr>
        <w:t>hat one</w:t>
      </w:r>
      <w:r w:rsidR="006C7A56" w:rsidRPr="00AD597A">
        <w:rPr>
          <w:sz w:val="24"/>
          <w:szCs w:val="24"/>
        </w:rPr>
        <w:t>-</w:t>
      </w:r>
      <w:r w:rsidRPr="00AD597A">
        <w:rPr>
          <w:sz w:val="24"/>
          <w:szCs w:val="24"/>
        </w:rPr>
        <w:t>in</w:t>
      </w:r>
      <w:r w:rsidR="006C7A56" w:rsidRPr="00AD597A">
        <w:rPr>
          <w:sz w:val="24"/>
          <w:szCs w:val="24"/>
        </w:rPr>
        <w:t>-</w:t>
      </w:r>
      <w:r w:rsidRPr="00AD597A">
        <w:rPr>
          <w:sz w:val="24"/>
          <w:szCs w:val="24"/>
        </w:rPr>
        <w:t xml:space="preserve">ten housewives resettled in Dublin corporation housing estates experienced loneliness. Since these early observations, a substantial body of international research has established a strong link between loneliness and a lack of social connectedness and a range of adverse outcomes. These include poorer wellbeing, mental and physical health </w:t>
      </w:r>
      <w:r w:rsidR="00501DF3" w:rsidRPr="00AD597A">
        <w:rPr>
          <w:sz w:val="24"/>
          <w:szCs w:val="24"/>
        </w:rPr>
        <w:fldChar w:fldCharType="begin" w:fldLock="1"/>
      </w:r>
      <w:r w:rsidR="004648C4">
        <w:rPr>
          <w:sz w:val="24"/>
          <w:szCs w:val="24"/>
        </w:rPr>
        <w:instrText>ADDIN CSL_CITATION {"citationItems":[{"id":"ITEM-1","itemData":{"DOI":"10.1016/j.psychres.2020.113514","ISSN":"18727123","PMID":"33130511","abstract":"The primary objective was to evaluate the comparative effects of loneliness on multiple distinct health outcomes. The literature was qualitatively reviewed to identify loneliness risk factors, explore mechanisms, and discuss potential evidence-based interventions for targeting loneliness. 114 identified studies were systematically reviewed and analyzed to examine for associations between loneliness (as measured by the UCLA Loneliness or de Jong Gierveld Loneliness Scales) and one or more health outcome(s). Health outcomes were broadly defined to include measures of mental health (i.e., depression, anxiety, suicidality, general mental health), general health (i.e., overall self-rated health), well-being (i.e., quality of life, life satisfaction), physical health (i.e., functional disability), sleep, and cognition. Loneliness had medium to large effects on all health outcomes, with the largest effects on mental health and overall well-being; however, this result may have been confounded by the breadth of studies exploring the association between loneliness and mental health, as opposed to other health outcomes. A significant effect of gender on the association between loneliness and cognition (i.e., more pronounced in studies with a greater proportion of males) was also observed. The adequate training of health care providers to perceive and respond to loneliness among patients should be prioritized.","author":[{"dropping-particle":"","family":"Park","given":"Caroline","non-dropping-particle":"","parse-names":false,"suffix":""},{"dropping-particle":"","family":"Majeed","given":"Amna","non-dropping-particle":"","parse-names":false,"suffix":""},{"dropping-particle":"","family":"Gill","given":"Hartej","non-dropping-particle":"","parse-names":false,"suffix":""},{"dropping-particle":"","family":"Tamura","given":"Jocelyn","non-dropping-particle":"","parse-names":false,"suffix":""},{"dropping-particle":"","family":"Ho","given":"Roger C.","non-dropping-particle":"","parse-names":false,"suffix":""},{"dropping-particle":"","family":"Mansur","given":"Rodrigo B.","non-dropping-particle":"","parse-names":false,"suffix":""},{"dropping-particle":"","family":"Nasri","given":"Flora","non-dropping-particle":"","parse-names":false,"suffix":""},{"dropping-particle":"","family":"Lee","given":"Yena","non-dropping-particle":"","parse-names":false,"suffix":""},{"dropping-particle":"","family":"Rosenblat","given":"Joshua D.","non-dropping-particle":"","parse-names":false,"suffix":""},{"dropping-particle":"","family":"Wong","given":"Elizabeth","non-dropping-particle":"","parse-names":false,"suffix":""},{"dropping-particle":"","family":"McIntyre","given":"Roger S.","non-dropping-particle":"","parse-names":false,"suffix":""}],"container-title":"Psychiatry Research","id":"ITEM-1","issue":"January","issued":{"date-parts":[["2020"]]},"page":"113514","publisher":"Elsevier B.V.","title":"The Effect of Loneliness on Distinct Health Outcomes: A Comprehensive Review and Meta-Analysis","type":"article-journal","volume":"294"},"uris":["http://www.mendeley.com/documents/?uuid=3b4616d9-42f5-4c82-bf44-2918cb86a0ce"]}],"mendeley":{"formattedCitation":"(Park et al., 2020)","plainTextFormattedCitation":"(Park et al., 2020)","previouslyFormattedCitation":"(Park et al., 2020)"},"properties":{"noteIndex":0},"schema":"https://github.com/citation-style-language/schema/raw/master/csl-citation.json"}</w:instrText>
      </w:r>
      <w:r w:rsidR="00501DF3" w:rsidRPr="00AD597A">
        <w:rPr>
          <w:sz w:val="24"/>
          <w:szCs w:val="24"/>
        </w:rPr>
        <w:fldChar w:fldCharType="separate"/>
      </w:r>
      <w:r w:rsidR="00501DF3" w:rsidRPr="00A066FF">
        <w:rPr>
          <w:noProof/>
          <w:sz w:val="24"/>
          <w:szCs w:val="24"/>
        </w:rPr>
        <w:t>(Park et al., 2020)</w:t>
      </w:r>
      <w:r w:rsidR="00501DF3" w:rsidRPr="00AD597A">
        <w:rPr>
          <w:sz w:val="24"/>
          <w:szCs w:val="24"/>
        </w:rPr>
        <w:fldChar w:fldCharType="end"/>
      </w:r>
      <w:r w:rsidR="00AE44F0" w:rsidRPr="00AD597A">
        <w:rPr>
          <w:sz w:val="24"/>
          <w:szCs w:val="24"/>
        </w:rPr>
        <w:t xml:space="preserve">, </w:t>
      </w:r>
      <w:r w:rsidRPr="00AD597A">
        <w:rPr>
          <w:sz w:val="24"/>
          <w:szCs w:val="24"/>
        </w:rPr>
        <w:t>increased healthcare utili</w:t>
      </w:r>
      <w:r w:rsidR="00AE44F0" w:rsidRPr="00AD597A">
        <w:rPr>
          <w:sz w:val="24"/>
          <w:szCs w:val="24"/>
        </w:rPr>
        <w:t>s</w:t>
      </w:r>
      <w:r w:rsidRPr="00AD597A">
        <w:rPr>
          <w:sz w:val="24"/>
          <w:szCs w:val="24"/>
        </w:rPr>
        <w:t xml:space="preserve">ation and associated economic costs (Christiansen et al., 2023), elevated mortality risk </w:t>
      </w:r>
      <w:r w:rsidR="0007607A" w:rsidRPr="00AD597A">
        <w:rPr>
          <w:sz w:val="24"/>
          <w:szCs w:val="24"/>
        </w:rPr>
        <w:fldChar w:fldCharType="begin" w:fldLock="1"/>
      </w:r>
      <w:r w:rsidR="004648C4">
        <w:rPr>
          <w:sz w:val="24"/>
          <w:szCs w:val="24"/>
        </w:rPr>
        <w:instrText>ADDIN CSL_CITATION {"citationItems":[{"id":"ITEM-1","itemData":{"DOI":"10.1016/j.socscimed.2011.11.028.Loneliness","ISSN":"09707077","PMID":"22326307","abstract":"This study examined the relationship between loneliness, health, and mortality using a U.S. nationally representative sample of 2,101 adults aged 50 years and over from the 2002 to 2008 waves of the Health and Retirement Study. We estimated the effect of loneliness at one point on mortality over the subsequent six years, and investigated social relationships, health behaviors, and health outcomes as potential mechanisms through which loneliness affects mortality risk among older Americans. We operationalized health outcomes as depressive symptoms, self-rated health, and functional limitations, and we conceptualized the relationships between loneliness and each health outcome as reciprocal and dynamic. We found that feelings of loneliness were associated with increased mortality risk over a 6-year period, and that this effect was not explained by social relationships or health behaviors but was modestly explained by health outcomes. In cross-lagged panel models that tested the reciprocal prospective effects of loneliness and health, loneliness both affected and was affected by depressive symptoms and functional limitations over time, and had marginal effects on later self-rated health. These population-based data contribute to a growing literature indicating that loneliness is a risk factor for morbidity and mortality and point to potential mechanisms through which this process works.","author":[{"dropping-particle":"","family":"Luo","given":"Ye","non-dropping-particle":"","parse-names":false,"suffix":""},{"dropping-particle":"","family":"Hawkley","given":"Louise C.","non-dropping-particle":"","parse-names":false,"suffix":""},{"dropping-particle":"","family":"Waite","given":"Linda J.","non-dropping-particle":"","parse-names":false,"suffix":""},{"dropping-particle":"","family":"Cacioppo","given":"John T.","non-dropping-particle":"","parse-names":false,"suffix":""}],"container-title":"Loneliness, health, and mortality in old age","id":"ITEM-1","issue":"8","issued":{"date-parts":[["2012"]]},"page":"6501-6504","title":"Loneliness, health, and mortality in old age","type":"article-journal","volume":"20"},"uris":["http://www.mendeley.com/documents/?uuid=46e2ead6-d928-4d41-9569-8943964275af"]}],"mendeley":{"formattedCitation":"(Luo et al., 2012)","plainTextFormattedCitation":"(Luo et al., 2012)","previouslyFormattedCitation":"(Luo et al., 2012)"},"properties":{"noteIndex":0},"schema":"https://github.com/citation-style-language/schema/raw/master/csl-citation.json"}</w:instrText>
      </w:r>
      <w:r w:rsidR="0007607A" w:rsidRPr="00AD597A">
        <w:rPr>
          <w:sz w:val="24"/>
          <w:szCs w:val="24"/>
        </w:rPr>
        <w:fldChar w:fldCharType="separate"/>
      </w:r>
      <w:r w:rsidR="0007607A" w:rsidRPr="00A066FF">
        <w:rPr>
          <w:noProof/>
          <w:sz w:val="24"/>
          <w:szCs w:val="24"/>
        </w:rPr>
        <w:t>(Luo et al., 2012)</w:t>
      </w:r>
      <w:r w:rsidR="0007607A" w:rsidRPr="00AD597A">
        <w:rPr>
          <w:sz w:val="24"/>
          <w:szCs w:val="24"/>
        </w:rPr>
        <w:fldChar w:fldCharType="end"/>
      </w:r>
      <w:r w:rsidR="00656899">
        <w:rPr>
          <w:sz w:val="24"/>
          <w:szCs w:val="24"/>
        </w:rPr>
        <w:t xml:space="preserve"> -</w:t>
      </w:r>
      <w:r w:rsidR="0007607A" w:rsidRPr="00AD597A">
        <w:rPr>
          <w:sz w:val="24"/>
          <w:szCs w:val="24"/>
        </w:rPr>
        <w:t xml:space="preserve"> </w:t>
      </w:r>
      <w:r w:rsidRPr="00AD597A">
        <w:rPr>
          <w:sz w:val="24"/>
          <w:szCs w:val="24"/>
        </w:rPr>
        <w:t xml:space="preserve">famously comparable to smoking up to 15 cigarettes daily </w:t>
      </w:r>
      <w:r w:rsidR="00D22979" w:rsidRPr="00AD597A">
        <w:rPr>
          <w:sz w:val="24"/>
          <w:szCs w:val="24"/>
        </w:rPr>
        <w:fldChar w:fldCharType="begin" w:fldLock="1"/>
      </w:r>
      <w:r w:rsidR="004648C4">
        <w:rPr>
          <w:sz w:val="24"/>
          <w:szCs w:val="24"/>
        </w:rPr>
        <w:instrText>ADDIN CSL_CITATION {"citationItems":[{"id":"ITEM-1","itemData":{"DOI":"10.1177/1745691614568352","ISSN":"17456924","PMID":"25910392","abstract":"Actual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mortality.","author":[{"dropping-particle":"","family":"Holt-Lunstad","given":"Julianne","non-dropping-particle":"","parse-names":false,"suffix":""},{"dropping-particle":"","family":"Smith","given":"Timothy B.","non-dropping-particle":"","parse-names":false,"suffix":""},{"dropping-particle":"","family":"Baker","given":"Mark","non-dropping-particle":"","parse-names":false,"suffix":""},{"dropping-particle":"","family":"Harris","given":"Tyler","non-dropping-particle":"","parse-names":false,"suffix":""},{"dropping-particle":"","family":"Stephenson","given":"David","non-dropping-particle":"","parse-names":false,"suffix":""}],"container-title":"Perspectives on Psychological Science","id":"ITEM-1","issue":"2","issued":{"date-parts":[["2015"]]},"page":"227-237","title":"Loneliness and Social Isolation as Risk Factors for Mortality: A Meta-Analytic Review","type":"article-journal","volume":"10"},"uris":["http://www.mendeley.com/documents/?uuid=9fbe2062-41e4-43cc-af5f-30f747c23d66"]}],"mendeley":{"formattedCitation":"(Holt-Lunstad et al., 2015)","plainTextFormattedCitation":"(Holt-Lunstad et al., 2015)","previouslyFormattedCitation":"(Holt-Lunstad et al., 2015)"},"properties":{"noteIndex":0},"schema":"https://github.com/citation-style-language/schema/raw/master/csl-citation.json"}</w:instrText>
      </w:r>
      <w:r w:rsidR="00D22979" w:rsidRPr="00AD597A">
        <w:rPr>
          <w:sz w:val="24"/>
          <w:szCs w:val="24"/>
        </w:rPr>
        <w:fldChar w:fldCharType="separate"/>
      </w:r>
      <w:r w:rsidR="00D22979" w:rsidRPr="00A066FF">
        <w:rPr>
          <w:noProof/>
          <w:sz w:val="24"/>
          <w:szCs w:val="24"/>
        </w:rPr>
        <w:t>(Holt-Lunstad et al., 2015)</w:t>
      </w:r>
      <w:r w:rsidR="00D22979" w:rsidRPr="00AD597A">
        <w:rPr>
          <w:sz w:val="24"/>
          <w:szCs w:val="24"/>
        </w:rPr>
        <w:fldChar w:fldCharType="end"/>
      </w:r>
      <w:r w:rsidR="00D22979" w:rsidRPr="00AD597A">
        <w:rPr>
          <w:sz w:val="24"/>
          <w:szCs w:val="24"/>
        </w:rPr>
        <w:t xml:space="preserve">, </w:t>
      </w:r>
      <w:r w:rsidRPr="00AD597A">
        <w:rPr>
          <w:sz w:val="24"/>
          <w:szCs w:val="24"/>
        </w:rPr>
        <w:t xml:space="preserve">diminished employee performance </w:t>
      </w:r>
      <w:r w:rsidR="00B81E53" w:rsidRPr="00AD597A">
        <w:rPr>
          <w:sz w:val="24"/>
          <w:szCs w:val="24"/>
        </w:rPr>
        <w:fldChar w:fldCharType="begin" w:fldLock="1"/>
      </w:r>
      <w:r w:rsidR="00B81E53" w:rsidRPr="00AD597A">
        <w:rPr>
          <w:sz w:val="24"/>
          <w:szCs w:val="24"/>
        </w:rPr>
        <w:instrText>ADDIN CSL_CITATION {"citationItems":[{"id":"ITEM-1","itemData":{"DOI":"10.5465/amj.2015.1066","ISSN":"00014273","abstract":"This research investigates the link between workplace loneliness and job performance. Integrating the regulatory loop model of loneliness and the affect theory of social exchange, we develop a model of workplace loneliness. We focus on the central role of affiliation in explaining the loneliness–performance relationship, predicting that despite lonelier employees’ desire to connect with others, being lonelier is associated with lower job performance because of a lack of affiliation at work. Through a time-lagged field study of 672 employees and their 114 supervisors in two organizations, we find support that greater workplace loneliness is related to lower job performance; the mediators of this relationship are lonelier employees’ lower approachability and lesser affective commitment to their organizations. We also examine the moderating roles of the emotional cultures of companionate love and anger, as well as of the loneliness of other coworkers in the work group. Features of this affective affiliative context moderate some of the relationships between loneliness and the mediating variables; we also find support for the full moderated mediation model. This study highlights the importance of recognizing the pernicious power of workplace loneliness over both lonelier employees and their organizations. We offer implications for future research and practice.","author":[{"dropping-particle":"","family":"Ozcelik","given":"Hakan","non-dropping-particle":"","parse-names":false,"suffix":""},{"dropping-particle":"","family":"Barsade","given":"Sigal G.","non-dropping-particle":"","parse-names":false,"suffix":""}],"container-title":"Academy of Management Journal","id":"ITEM-1","issue":"6","issued":{"date-parts":[["2018"]]},"page":"2343-2366","title":"No employee an island: Workplace loneliness and job performance","type":"article-journal","volume":"61"},"uris":["http://www.mendeley.com/documents/?uuid=2b5f201f-4d0b-4513-aad6-29b6a8323256"]}],"mendeley":{"formattedCitation":"(Ozcelik and Barsade, 2018)","plainTextFormattedCitation":"(Ozcelik and Barsade, 2018)","previouslyFormattedCitation":"(Ozcelik and Barsade, 2018)"},"properties":{"noteIndex":0},"schema":"https://github.com/citation-style-language/schema/raw/master/csl-citation.json"}</w:instrText>
      </w:r>
      <w:r w:rsidR="00B81E53" w:rsidRPr="00AD597A">
        <w:rPr>
          <w:sz w:val="24"/>
          <w:szCs w:val="24"/>
        </w:rPr>
        <w:fldChar w:fldCharType="separate"/>
      </w:r>
      <w:r w:rsidR="00B81E53" w:rsidRPr="00AD597A">
        <w:rPr>
          <w:noProof/>
          <w:sz w:val="24"/>
          <w:szCs w:val="24"/>
        </w:rPr>
        <w:t>(Ozcelik and Barsade, 2018)</w:t>
      </w:r>
      <w:r w:rsidR="00B81E53" w:rsidRPr="00AD597A">
        <w:rPr>
          <w:sz w:val="24"/>
          <w:szCs w:val="24"/>
        </w:rPr>
        <w:fldChar w:fldCharType="end"/>
      </w:r>
      <w:r w:rsidR="006C7A56" w:rsidRPr="00AD597A">
        <w:rPr>
          <w:sz w:val="24"/>
          <w:szCs w:val="24"/>
        </w:rPr>
        <w:t xml:space="preserve">. </w:t>
      </w:r>
      <w:r w:rsidRPr="00AD597A">
        <w:rPr>
          <w:sz w:val="24"/>
          <w:szCs w:val="24"/>
        </w:rPr>
        <w:t xml:space="preserve">Furthermore, these individual experiences </w:t>
      </w:r>
      <w:r w:rsidR="005E6A83" w:rsidRPr="00AD597A">
        <w:rPr>
          <w:sz w:val="24"/>
          <w:szCs w:val="24"/>
        </w:rPr>
        <w:t xml:space="preserve">have broader societal implications, potentially eroding social cohesion and community trust </w:t>
      </w:r>
      <w:r w:rsidR="00643FC3" w:rsidRPr="00AD597A">
        <w:rPr>
          <w:sz w:val="24"/>
          <w:szCs w:val="24"/>
        </w:rPr>
        <w:fldChar w:fldCharType="begin" w:fldLock="1"/>
      </w:r>
      <w:r w:rsidR="004648C4">
        <w:rPr>
          <w:sz w:val="24"/>
          <w:szCs w:val="24"/>
        </w:rPr>
        <w:instrText>ADDIN CSL_CITATION {"citationItems":[{"id":"ITEM-1","itemData":{"DOI":"10.2139/ssrn.3823612","abstract":"Concerns about loneliness and social isolation are growing more than ever. With the COVID-19 pandemic entering its second year, there are fears that the toll on loneliness could have consequences long after the virus recedes. This study offers a comparative overview of the incidence and determinants of loneliness and social isolation in Europe in the pre-COVID-19 period. The empirical results indicate that 8.6% of the adult population in Europe suffer from frequent loneliness and 20.8% from social isolation, with eastern Europe recording the highest prevalence of both phenomena. Trends over time do not indicate any change in the incidence of social isolation following the widespread adoption of social media networks from 2010 onwards. The empirical analysis shows that favourable economic circumstances protect against loneliness and social isolation, while living alone and poor health constitute important loneliness risk factors. Although social isolation increases with age, the elderly do not report more frequent feelings of loneliness than other age groups, all other things being equal. The relative contributions of the different objective circumstances included in the empirical analysis — demographic characteristics, economic conditions, living arrangements, health status, religious beliefs and geographical location — to chronic loneliness and social isolation vary substantially.","author":[{"dropping-particle":"","family":"d'Hombres","given":"Beatrice","non-dropping-particle":"","parse-names":false,"suffix":""},{"dropping-particle":"","family":"Barjaková","given":"Martina","non-dropping-particle":"","parse-names":false,"suffix":""},{"dropping-particle":"V.","family":"Schnepf","given":"Sylke","non-dropping-particle":"","parse-names":false,"suffix":""}],"container-title":"SSRN Electronic Journal","id":"ITEM-1","issue":"14245","issued":{"date-parts":[["2021"]]},"title":"Loneliness and Social Isolation: An Unequally Shared Burden in Europe","type":"article-journal"},"uris":["http://www.mendeley.com/documents/?uuid=df958d5b-d402-43b3-9ad9-fd4b4c90ed15"]},{"id":"ITEM-2","itemData":{"author":[{"dropping-particle":"","family":"Hertz","given":"N","non-dropping-particle":"","parse-names":false,"suffix":""}],"id":"ITEM-2","issued":{"date-parts":[["2020"]]},"publisher":"Crown Currency","title":"The Lonely Century: How to Restore Human Connection in a World That's Pulling Apart","type":"book"},"uris":["http://www.mendeley.com/documents/?uuid=95655062-48fc-450e-8520-985c1a09b76e"]}],"mendeley":{"formattedCitation":"(d’Hombres et al., 2021; Hertz, 2020)","plainTextFormattedCitation":"(d’Hombres et al., 2021; Hertz, 2020)","previouslyFormattedCitation":"(d’Hombres et al., 2021; Hertz, 2020)"},"properties":{"noteIndex":0},"schema":"https://github.com/citation-style-language/schema/raw/master/csl-citation.json"}</w:instrText>
      </w:r>
      <w:r w:rsidR="00643FC3" w:rsidRPr="00AD597A">
        <w:rPr>
          <w:sz w:val="24"/>
          <w:szCs w:val="24"/>
        </w:rPr>
        <w:fldChar w:fldCharType="separate"/>
      </w:r>
      <w:r w:rsidR="000443B6" w:rsidRPr="00A066FF">
        <w:rPr>
          <w:noProof/>
          <w:sz w:val="24"/>
          <w:szCs w:val="24"/>
        </w:rPr>
        <w:t>(d’Hombres et al., 2021; Hertz, 2020)</w:t>
      </w:r>
      <w:r w:rsidR="00643FC3" w:rsidRPr="00AD597A">
        <w:rPr>
          <w:sz w:val="24"/>
          <w:szCs w:val="24"/>
        </w:rPr>
        <w:fldChar w:fldCharType="end"/>
      </w:r>
      <w:r w:rsidR="00643FC3" w:rsidRPr="00AD597A">
        <w:rPr>
          <w:sz w:val="24"/>
          <w:szCs w:val="24"/>
        </w:rPr>
        <w:t xml:space="preserve">, </w:t>
      </w:r>
      <w:r w:rsidR="005E6A83" w:rsidRPr="00AD597A">
        <w:rPr>
          <w:sz w:val="24"/>
          <w:szCs w:val="24"/>
        </w:rPr>
        <w:t xml:space="preserve">and negatively impacting economic growth </w:t>
      </w:r>
      <w:r w:rsidR="006C7A56" w:rsidRPr="00AD597A">
        <w:rPr>
          <w:sz w:val="24"/>
          <w:szCs w:val="24"/>
        </w:rPr>
        <w:fldChar w:fldCharType="begin" w:fldLock="1"/>
      </w:r>
      <w:r w:rsidR="00A066FF">
        <w:rPr>
          <w:sz w:val="24"/>
          <w:szCs w:val="24"/>
        </w:rPr>
        <w:instrText>ADDIN CSL_CITATION {"citationItems":[{"id":"ITEM-1","itemData":{"DOI":"10.1177/0308518X231169286","ISSN":"14723409","abstract":"Solitude is a rising phenomenon in the western world. The share of people affected by solitude has been rising for some time and the Covid-19 pandemic has further brought this trend to the fore. Yet, we know next to nothing about the aggregate subnational economic impact of the rise in solitude. In this paper, we analyse the consequences of solitude on regional economic performance across Europe, distinguishing between two of its key dimensions: alone living, proxied by the regional share of single-person households and loneliness, proxied by the aggregate share of social interactions. We find that solitude has important implications for economic development, but that these go in different directions. While alone living is a substantial driver of economic growth across European regions, high shares of lonely people undermine it. The connection of loneliness with economic growth is, however, dependent on the frequency of in-person meetings, with large shares of the population meeting others socially on a weekly basis, alongside a small percentage of people who never meet others, yielding the best economic returns.","author":[{"dropping-particle":"","family":"Burlina","given":"Chiara","non-dropping-particle":"","parse-names":false,"suffix":""},{"dropping-particle":"","family":"Rodríguez-Pose","given":"Andrés","non-dropping-particle":"","parse-names":false,"suffix":""}],"container-title":"Environment and Planning A","id":"ITEM-1","issue":"8","issued":{"date-parts":[["2023"]]},"page":"2067-2087","title":"Alone and lonely. The economic cost of solitude for regions in Europe","type":"article-journal","volume":"55"},"uris":["http://www.mendeley.com/documents/?uuid=6fe08822-b710-4ce5-8481-d9fee8ff0e6c"]},{"id":"ITEM-2","itemData":{"author":[{"dropping-particle":"","family":"Hertz","given":"N","non-dropping-particle":"","parse-names":false,"suffix":""}],"id":"ITEM-2","issued":{"date-parts":[["2020"]]},"publisher":"Crown Currency","title":"The Lonely Century: How to Restore Human Connection in a World That's Pulling Apart","type":"book"},"uris":["http://www.mendeley.com/documents/?uuid=95655062-48fc-450e-8520-985c1a09b76e"]}],"mendeley":{"formattedCitation":"(Burlina and Rodríguez-Pose, 2023; Hertz, 2020)","plainTextFormattedCitation":"(Burlina and Rodríguez-Pose, 2023; Hertz, 2020)","previouslyFormattedCitation":"(Burlina and Rodríguez-Pose, 2023; Hertz, 2020)"},"properties":{"noteIndex":0},"schema":"https://github.com/citation-style-language/schema/raw/master/csl-citation.json"}</w:instrText>
      </w:r>
      <w:r w:rsidR="006C7A56" w:rsidRPr="00AD597A">
        <w:rPr>
          <w:sz w:val="24"/>
          <w:szCs w:val="24"/>
        </w:rPr>
        <w:fldChar w:fldCharType="separate"/>
      </w:r>
      <w:r w:rsidR="000443B6" w:rsidRPr="000443B6">
        <w:rPr>
          <w:noProof/>
          <w:sz w:val="24"/>
          <w:szCs w:val="24"/>
        </w:rPr>
        <w:t>(Burlina and Rodríguez-Pose, 2023; Hertz, 2020)</w:t>
      </w:r>
      <w:r w:rsidR="006C7A56" w:rsidRPr="00AD597A">
        <w:rPr>
          <w:sz w:val="24"/>
          <w:szCs w:val="24"/>
        </w:rPr>
        <w:fldChar w:fldCharType="end"/>
      </w:r>
      <w:r w:rsidR="003A125E" w:rsidRPr="00AD597A">
        <w:rPr>
          <w:sz w:val="24"/>
          <w:szCs w:val="24"/>
        </w:rPr>
        <w:t>.</w:t>
      </w:r>
    </w:p>
    <w:p w14:paraId="0B681533" w14:textId="0777C8BF" w:rsidR="000F3BED" w:rsidRPr="00AD597A" w:rsidRDefault="000F3BED" w:rsidP="000F3BED">
      <w:pPr>
        <w:spacing w:line="360" w:lineRule="auto"/>
        <w:rPr>
          <w:sz w:val="24"/>
          <w:szCs w:val="24"/>
        </w:rPr>
      </w:pPr>
      <w:r w:rsidRPr="00AD597A">
        <w:rPr>
          <w:sz w:val="24"/>
          <w:szCs w:val="24"/>
        </w:rPr>
        <w:t>The confluence of this growing evidence base</w:t>
      </w:r>
      <w:r w:rsidR="003A125E" w:rsidRPr="00AD597A">
        <w:rPr>
          <w:sz w:val="24"/>
          <w:szCs w:val="24"/>
        </w:rPr>
        <w:t>,</w:t>
      </w:r>
      <w:r w:rsidRPr="00AD597A">
        <w:rPr>
          <w:sz w:val="24"/>
          <w:szCs w:val="24"/>
        </w:rPr>
        <w:t xml:space="preserve"> and the acute experience of loneliness and social isolation during the COVID-19 pandemic has spurred greater policy attention, with loneliness now widely recogni</w:t>
      </w:r>
      <w:r w:rsidR="003D653A" w:rsidRPr="00AD597A">
        <w:rPr>
          <w:sz w:val="24"/>
          <w:szCs w:val="24"/>
        </w:rPr>
        <w:t>s</w:t>
      </w:r>
      <w:r w:rsidRPr="00AD597A">
        <w:rPr>
          <w:sz w:val="24"/>
          <w:szCs w:val="24"/>
        </w:rPr>
        <w:t>ed as a critical public health issue</w:t>
      </w:r>
      <w:r w:rsidR="004268CD" w:rsidRPr="00AD597A">
        <w:rPr>
          <w:sz w:val="24"/>
          <w:szCs w:val="24"/>
        </w:rPr>
        <w:t xml:space="preserve"> </w:t>
      </w:r>
      <w:r w:rsidR="0079451A" w:rsidRPr="00AD597A">
        <w:rPr>
          <w:sz w:val="24"/>
          <w:szCs w:val="24"/>
        </w:rPr>
        <w:fldChar w:fldCharType="begin" w:fldLock="1"/>
      </w:r>
      <w:r w:rsidR="004648C4">
        <w:rPr>
          <w:sz w:val="24"/>
          <w:szCs w:val="24"/>
        </w:rPr>
        <w:instrText>ADDIN CSL_CITATION {"citationItems":[{"id":"ITEM-1","itemData":{"DOI":"10.1037/amp0001005","ISBN":"0000000349529","ISSN":"1935990X","PMID":"35533109","abstract":"The COVID-19 pandemic and measures aimed at its mitigation, such as physical distancing, have been discussed as risk factors for loneliness, which increases the risk of premature mortality and mental and physical health conditions. To ascertain whether loneliness has increased since the start of the pandemic, this study aimed to narratively and statistically synthesize relevant high-quality primary studies. This systematic review with meta-analysis was registered at PROSPERO (ID CRD42021246771). Searched databases were PubMed, PsycINFO, Cochrane Library/Central Register of Controlled Trials/EMBASE/CINAHL, Web of Science, the World Health Organization (WHO) COVID-19 database, supplemented by Google Scholar and citation searching (cutoff date of the systematic search December 5, 2021).Summary data from prospective research including loneliness assessments before and during the pandemic were extracted. Of 6,850 retrieved records, 34 studies (23 longitudinal, 9 pseudolongitudinal, 2 reporting both designs) on 215,026 participants were included. Risk of bias (RoB) was estimated using the risk of bias in non-randomised studies—of interventions (ROBINS-I) tool. Standardized mean differences (SMD, Hedges’ g) for continuous loneliness values and logOR for loneliness prevalence rates were calculated as pooled effect size estimators in random-effects meta-analyses. Pooling studies with longitudinal designs only (overall N = 45,734), loneliness scores (19 studies, SMD = 0.27 [95% confidence interval = 0.14–0.40], Z = 4.02, p &lt;.001, I2 = 98%) and prevalence rates (8 studies, logOR = 0.33 [0.04– 0.62], Z = 2.25, p =.02, I2 = 96%) increased relative to prepandemic times with small effect sizes. Results were robust with respect to studies’ overall RoB, pseudolongitudinal designs, timing of prepandemic assessments, and clinical populations. The heterogeneity of effects indicates a need to further investigate risk and protective factors as the pandemic progresses to inform targeted interventions","author":[{"dropping-particle":"","family":"Ernst","given":"Mareike","non-dropping-particle":"","parse-names":false,"suffix":""},{"dropping-particle":"","family":"Niederer","given":"Daniel","non-dropping-particle":"","parse-names":false,"suffix":""},{"dropping-particle":"","family":"Werner","given":"Antonia M.","non-dropping-particle":"","parse-names":false,"suffix":""},{"dropping-particle":"","family":"Czaja","given":"Sara J.","non-dropping-particle":"","parse-names":false,"suffix":""},{"dropping-particle":"","family":"Mikton","given":"Christopher","non-dropping-particle":"","parse-names":false,"suffix":""},{"dropping-particle":"","family":"Ong","given":"Anthony D.","non-dropping-particle":"","parse-names":false,"suffix":""},{"dropping-particle":"","family":"Rosen","given":"Tony","non-dropping-particle":"","parse-names":false,"suffix":""},{"dropping-particle":"","family":"Brähler","given":"Elmar","non-dropping-particle":"","parse-names":false,"suffix":""},{"dropping-particle":"","family":"Beutel","given":"Manfred E.","non-dropping-particle":"","parse-names":false,"suffix":""}],"container-title":"American Psychologist","id":"ITEM-1","issue":"5","issued":{"date-parts":[["2022"]]},"page":"660-677","title":"Loneliness Before and During the COVID-19 Pandemic: A Systematic Review With Meta-Analysis","type":"article-journal","volume":"77"},"uris":["http://www.mendeley.com/documents/?uuid=a600c83d-f34e-4309-9318-b6fa796caea1"]}],"mendeley":{"formattedCitation":"(Ernst et al., 2022)","plainTextFormattedCitation":"(Ernst et al., 2022)","previouslyFormattedCitation":"(Ernst et al., 2022)"},"properties":{"noteIndex":0},"schema":"https://github.com/citation-style-language/schema/raw/master/csl-citation.json"}</w:instrText>
      </w:r>
      <w:r w:rsidR="0079451A" w:rsidRPr="00AD597A">
        <w:rPr>
          <w:sz w:val="24"/>
          <w:szCs w:val="24"/>
        </w:rPr>
        <w:fldChar w:fldCharType="separate"/>
      </w:r>
      <w:r w:rsidR="0079451A" w:rsidRPr="00A066FF">
        <w:rPr>
          <w:noProof/>
          <w:sz w:val="24"/>
          <w:szCs w:val="24"/>
        </w:rPr>
        <w:t>(Ernst et al., 2022)</w:t>
      </w:r>
      <w:r w:rsidR="0079451A" w:rsidRPr="00AD597A">
        <w:rPr>
          <w:sz w:val="24"/>
          <w:szCs w:val="24"/>
        </w:rPr>
        <w:fldChar w:fldCharType="end"/>
      </w:r>
      <w:r w:rsidRPr="00AD597A">
        <w:rPr>
          <w:sz w:val="24"/>
          <w:szCs w:val="24"/>
        </w:rPr>
        <w:t xml:space="preserve">. The UK government's pioneering establishment of a Minister for Loneliness in 2018 marked a significant turning point, and since the pandemic, interest in addressing loneliness and social isolation has surged. International bodies such as the </w:t>
      </w:r>
      <w:r w:rsidRPr="00AD597A">
        <w:rPr>
          <w:sz w:val="24"/>
          <w:szCs w:val="24"/>
        </w:rPr>
        <w:lastRenderedPageBreak/>
        <w:t xml:space="preserve">European Commission </w:t>
      </w:r>
      <w:r w:rsidR="00266E44" w:rsidRPr="00AD597A">
        <w:rPr>
          <w:sz w:val="24"/>
          <w:szCs w:val="24"/>
        </w:rPr>
        <w:fldChar w:fldCharType="begin" w:fldLock="1"/>
      </w:r>
      <w:r w:rsidR="004648C4">
        <w:rPr>
          <w:sz w:val="24"/>
          <w:szCs w:val="24"/>
        </w:rPr>
        <w:instrText>ADDIN CSL_CITATION {"citationItems":[{"id":"ITEM-1","itemData":{"ISBN":"9783031665813","author":[{"dropping-particle":"","family":"Schnepf","given":"S.V.","non-dropping-particle":"","parse-names":false,"suffix":""},{"dropping-particle":"","family":"D'Hombres","given":"B.","non-dropping-particle":"","parse-names":false,"suffix":""},{"dropping-particle":"","family":"Mauri","given":"C","non-dropping-particle":"","parse-names":false,"suffix":""}],"id":"ITEM-1","issue":"3","issued":{"date-parts":[["2024"]]},"publisher":"European Commission, Springer","title":"Loneliness in Europe: Determinants, Risks and Interventions.","type":"book","volume":"97"},"uris":["http://www.mendeley.com/documents/?uuid=e2a5eacf-b85e-4c42-8fcb-b2c4913d98d8"]}],"mendeley":{"formattedCitation":"(Schnepf et al., 2024)","plainTextFormattedCitation":"(Schnepf et al., 2024)","previouslyFormattedCitation":"(Schnepf et al., 2024)"},"properties":{"noteIndex":0},"schema":"https://github.com/citation-style-language/schema/raw/master/csl-citation.json"}</w:instrText>
      </w:r>
      <w:r w:rsidR="00266E44" w:rsidRPr="00AD597A">
        <w:rPr>
          <w:sz w:val="24"/>
          <w:szCs w:val="24"/>
        </w:rPr>
        <w:fldChar w:fldCharType="separate"/>
      </w:r>
      <w:r w:rsidR="000443B6" w:rsidRPr="00A066FF">
        <w:rPr>
          <w:noProof/>
          <w:sz w:val="24"/>
          <w:szCs w:val="24"/>
        </w:rPr>
        <w:t>(Schnepf et al., 2024)</w:t>
      </w:r>
      <w:r w:rsidR="00266E44" w:rsidRPr="00AD597A">
        <w:rPr>
          <w:sz w:val="24"/>
          <w:szCs w:val="24"/>
        </w:rPr>
        <w:fldChar w:fldCharType="end"/>
      </w:r>
      <w:r w:rsidR="00266E44" w:rsidRPr="00AD597A">
        <w:rPr>
          <w:sz w:val="24"/>
          <w:szCs w:val="24"/>
        </w:rPr>
        <w:t xml:space="preserve"> </w:t>
      </w:r>
      <w:r w:rsidRPr="00AD597A">
        <w:rPr>
          <w:sz w:val="24"/>
          <w:szCs w:val="24"/>
        </w:rPr>
        <w:t xml:space="preserve">and the World Health Organization </w:t>
      </w:r>
      <w:r w:rsidR="00ED1D25" w:rsidRPr="00AD597A">
        <w:rPr>
          <w:sz w:val="24"/>
          <w:szCs w:val="24"/>
        </w:rPr>
        <w:fldChar w:fldCharType="begin" w:fldLock="1"/>
      </w:r>
      <w:r w:rsidR="00ED1D25" w:rsidRPr="00AD597A">
        <w:rPr>
          <w:sz w:val="24"/>
          <w:szCs w:val="24"/>
        </w:rPr>
        <w:instrText>ADDIN CSL_CITATION {"citationItems":[{"id":"ITEM-1","itemData":{"URL":"https://www.who.int/groups/commission-on-social-connection","accessed":{"date-parts":[["2025","2","5"]]},"author":[{"dropping-particle":"","family":"World Health Organization","given":"","non-dropping-particle":"","parse-names":false,"suffix":""}],"id":"ITEM-1","issued":{"date-parts":[["2023"]]},"title":"WHO Commission on Social Connectedness","type":"webpage"},"uris":["http://www.mendeley.com/documents/?uuid=ea2465aa-194f-417d-8828-e8d8956c2d44"]}],"mendeley":{"formattedCitation":"(World Health Organization, 2023)","manualFormatting":"(2023)","plainTextFormattedCitation":"(World Health Organization, 2023)","previouslyFormattedCitation":"(World Health Organization, 2023)"},"properties":{"noteIndex":0},"schema":"https://github.com/citation-style-language/schema/raw/master/csl-citation.json"}</w:instrText>
      </w:r>
      <w:r w:rsidR="00ED1D25" w:rsidRPr="00AD597A">
        <w:rPr>
          <w:sz w:val="24"/>
          <w:szCs w:val="24"/>
        </w:rPr>
        <w:fldChar w:fldCharType="separate"/>
      </w:r>
      <w:r w:rsidR="00ED1D25" w:rsidRPr="00AD597A">
        <w:rPr>
          <w:noProof/>
          <w:sz w:val="24"/>
          <w:szCs w:val="24"/>
        </w:rPr>
        <w:t>(2023)</w:t>
      </w:r>
      <w:r w:rsidR="00ED1D25" w:rsidRPr="00AD597A">
        <w:rPr>
          <w:sz w:val="24"/>
          <w:szCs w:val="24"/>
        </w:rPr>
        <w:fldChar w:fldCharType="end"/>
      </w:r>
      <w:r w:rsidR="00ED1D25" w:rsidRPr="00AD597A">
        <w:rPr>
          <w:sz w:val="24"/>
          <w:szCs w:val="24"/>
        </w:rPr>
        <w:t xml:space="preserve">, </w:t>
      </w:r>
      <w:r w:rsidRPr="00AD597A">
        <w:rPr>
          <w:sz w:val="24"/>
          <w:szCs w:val="24"/>
        </w:rPr>
        <w:t>through its Global Commission on Social Connection, have emphasi</w:t>
      </w:r>
      <w:r w:rsidR="00656899">
        <w:rPr>
          <w:sz w:val="24"/>
          <w:szCs w:val="24"/>
        </w:rPr>
        <w:t>s</w:t>
      </w:r>
      <w:r w:rsidRPr="00AD597A">
        <w:rPr>
          <w:sz w:val="24"/>
          <w:szCs w:val="24"/>
        </w:rPr>
        <w:t xml:space="preserve">ed the importance of these issues. This growing recognition is further reflected in the elevation of social connection, previously a standalone domain within the OECD Well-being Framework, to a key area of policy and research focus </w:t>
      </w:r>
      <w:r w:rsidR="00E362A7" w:rsidRPr="00AD597A">
        <w:rPr>
          <w:sz w:val="24"/>
          <w:szCs w:val="24"/>
        </w:rPr>
        <w:fldChar w:fldCharType="begin" w:fldLock="1"/>
      </w:r>
      <w:r w:rsidR="004648C4">
        <w:rPr>
          <w:sz w:val="24"/>
          <w:szCs w:val="24"/>
        </w:rPr>
        <w:instrText>ADDIN CSL_CITATION {"citationItems":[{"id":"ITEM-1","itemData":{"author":[{"dropping-particle":"","family":"Kudrna","given":"Laura","non-dropping-particle":"","parse-names":false,"suffix":""},{"dropping-particle":"","family":"Alidu","given":"Lailah","non-dropping-particle":"","parse-names":false,"suffix":""},{"dropping-particle":"","family":"Dolan","given":"Paul","non-dropping-particle":"","parse-names":false,"suffix":""}],"id":"ITEM-1","issued":{"date-parts":[["2024"]]},"publisher":"OECD","title":"Measuring affective components of subjective well-being- Updated evidence to inform national data collections","type":"book"},"uris":["http://www.mendeley.com/documents/?uuid=4a9f608e-3f10-460a-999a-65299b8e88e9"]},{"id":"ITEM-2","itemData":{"DOI":"https://doi.org/10.1787/f758bd20-en","author":[{"dropping-particle":"","family":"Mahoney","given":"Jessica","non-dropping-particle":"","parse-names":false,"suffix":""},{"dropping-particle":"","family":"Fleischer","given":"Lara","non-dropping-particle":"","parse-names":false,"suffix":""},{"dropping-particle":"","family":"Bottura","given":"Gaia","non-dropping-particle":"","parse-names":false,"suffix":""},{"dropping-particle":"","family":"Scrivens","given":"Kate","non-dropping-particle":"","parse-names":false,"suffix":""}],"id":"ITEM-2","issued":{"date-parts":[["2024"]]},"publisher":"OECD","title":"Measuring social connectedness in OECD countries A scoping review","type":"book"},"uris":["http://www.mendeley.com/documents/?uuid=00417ee4-180a-4a24-9567-49a85e0fea38"]}],"mendeley":{"formattedCitation":"(Kudrna et al., 2024; Mahoney et al., 2024)","plainTextFormattedCitation":"(Kudrna et al., 2024; Mahoney et al., 2024)","previouslyFormattedCitation":"(Kudrna et al., 2024; Mahoney et al., 2024)"},"properties":{"noteIndex":0},"schema":"https://github.com/citation-style-language/schema/raw/master/csl-citation.json"}</w:instrText>
      </w:r>
      <w:r w:rsidR="00E362A7" w:rsidRPr="00AD597A">
        <w:rPr>
          <w:sz w:val="24"/>
          <w:szCs w:val="24"/>
        </w:rPr>
        <w:fldChar w:fldCharType="separate"/>
      </w:r>
      <w:r w:rsidR="000443B6" w:rsidRPr="00A066FF">
        <w:rPr>
          <w:noProof/>
          <w:sz w:val="24"/>
          <w:szCs w:val="24"/>
        </w:rPr>
        <w:t>(Kudrna et al., 2024; Mahoney et al., 2024)</w:t>
      </w:r>
      <w:r w:rsidR="00E362A7" w:rsidRPr="00AD597A">
        <w:rPr>
          <w:sz w:val="24"/>
          <w:szCs w:val="24"/>
        </w:rPr>
        <w:fldChar w:fldCharType="end"/>
      </w:r>
      <w:r w:rsidR="00E362A7" w:rsidRPr="00AD597A">
        <w:rPr>
          <w:sz w:val="24"/>
          <w:szCs w:val="24"/>
        </w:rPr>
        <w:t xml:space="preserve">, </w:t>
      </w:r>
      <w:r w:rsidRPr="00AD597A">
        <w:rPr>
          <w:sz w:val="24"/>
          <w:szCs w:val="24"/>
        </w:rPr>
        <w:t xml:space="preserve">and underscored by the </w:t>
      </w:r>
      <w:r w:rsidR="004648C4" w:rsidRPr="00AD597A">
        <w:rPr>
          <w:sz w:val="24"/>
          <w:szCs w:val="24"/>
        </w:rPr>
        <w:fldChar w:fldCharType="begin" w:fldLock="1"/>
      </w:r>
      <w:r w:rsidR="000F3A06">
        <w:rPr>
          <w:sz w:val="24"/>
          <w:szCs w:val="24"/>
        </w:rPr>
        <w:instrText>ADDIN CSL_CITATION {"citationItems":[{"id":"ITEM-1","itemData":{"abstract":"Introduction: Why Social Connection Matters Our relationships and interactions with family, friends, colleagues, and neighbors are just some of what create social connection. Our connection with others and our community is also informed by our neighborhoods, digital environments, schools, and workplaces. Social connection— the structure, function, and quality of our relationships with others—is a critical and underappreciated contributor to individual and population health, community safety, resilience, and prosperity.6,17,32-36 However, far too many Americans lack social connection in one or more ways, compromising these benefits and leading to poor health and other negative outcomes.","author":[{"dropping-particle":"","family":"US Surgeon General","given":"","non-dropping-particle":"","parse-names":false,"suffix":""}],"id":"ITEM-1","issued":{"date-parts":[["2023"]]},"number-of-pages":"1-82","publisher":"Office of the U.S. Surgeon General","title":"Our epidemic of loneliness and isolation: the U.S. surgeon general's advisory on the healing effects of social connection and community","type":"book"},"uris":["http://www.mendeley.com/documents/?uuid=bc013b78-b416-4730-90b4-2b2fceed8d99"]}],"mendeley":{"formattedCitation":"(US Surgeon General, 2023a)","manualFormatting":"US Surgeon General's (2023a)","plainTextFormattedCitation":"(US Surgeon General, 2023a)","previouslyFormattedCitation":"(US Surgeon General, 2023a)"},"properties":{"noteIndex":0},"schema":"https://github.com/citation-style-language/schema/raw/master/csl-citation.json"}</w:instrText>
      </w:r>
      <w:r w:rsidR="004648C4" w:rsidRPr="00AD597A">
        <w:rPr>
          <w:sz w:val="24"/>
          <w:szCs w:val="24"/>
        </w:rPr>
        <w:fldChar w:fldCharType="separate"/>
      </w:r>
      <w:r w:rsidR="004648C4" w:rsidRPr="004648C4">
        <w:rPr>
          <w:noProof/>
          <w:sz w:val="24"/>
          <w:szCs w:val="24"/>
        </w:rPr>
        <w:t>US Surgeon General</w:t>
      </w:r>
      <w:r w:rsidR="004648C4">
        <w:rPr>
          <w:noProof/>
          <w:sz w:val="24"/>
          <w:szCs w:val="24"/>
        </w:rPr>
        <w:t>'s (</w:t>
      </w:r>
      <w:r w:rsidR="004648C4" w:rsidRPr="004648C4">
        <w:rPr>
          <w:noProof/>
          <w:sz w:val="24"/>
          <w:szCs w:val="24"/>
        </w:rPr>
        <w:t>2023a)</w:t>
      </w:r>
      <w:r w:rsidR="004648C4" w:rsidRPr="00AD597A">
        <w:rPr>
          <w:sz w:val="24"/>
          <w:szCs w:val="24"/>
        </w:rPr>
        <w:fldChar w:fldCharType="end"/>
      </w:r>
      <w:r w:rsidR="004648C4">
        <w:rPr>
          <w:sz w:val="24"/>
          <w:szCs w:val="24"/>
        </w:rPr>
        <w:t xml:space="preserve"> </w:t>
      </w:r>
      <w:r w:rsidRPr="00AD597A">
        <w:rPr>
          <w:sz w:val="24"/>
          <w:szCs w:val="24"/>
        </w:rPr>
        <w:t>influential advisory report on the crucial role of social connectedness</w:t>
      </w:r>
      <w:r w:rsidR="000736F0" w:rsidRPr="00AD597A">
        <w:rPr>
          <w:sz w:val="24"/>
          <w:szCs w:val="24"/>
        </w:rPr>
        <w:t>.</w:t>
      </w:r>
    </w:p>
    <w:p w14:paraId="2BC1C598" w14:textId="27C57796" w:rsidR="00796A3E" w:rsidRPr="00AD597A" w:rsidRDefault="000F3BED" w:rsidP="000F3BED">
      <w:pPr>
        <w:spacing w:line="360" w:lineRule="auto"/>
        <w:rPr>
          <w:sz w:val="24"/>
          <w:szCs w:val="24"/>
        </w:rPr>
      </w:pPr>
      <w:r w:rsidRPr="00AD597A">
        <w:rPr>
          <w:sz w:val="24"/>
          <w:szCs w:val="24"/>
        </w:rPr>
        <w:t>In Irela</w:t>
      </w:r>
      <w:r w:rsidR="0051289E">
        <w:rPr>
          <w:sz w:val="24"/>
          <w:szCs w:val="24"/>
        </w:rPr>
        <w:t xml:space="preserve">nd, </w:t>
      </w:r>
      <w:r w:rsidR="0021671D">
        <w:rPr>
          <w:sz w:val="24"/>
          <w:szCs w:val="24"/>
        </w:rPr>
        <w:t>t</w:t>
      </w:r>
      <w:r w:rsidRPr="00AD597A">
        <w:rPr>
          <w:sz w:val="24"/>
          <w:szCs w:val="24"/>
        </w:rPr>
        <w:t xml:space="preserve">he </w:t>
      </w:r>
      <w:r w:rsidR="002043D6" w:rsidRPr="00AD597A">
        <w:rPr>
          <w:sz w:val="24"/>
          <w:szCs w:val="24"/>
        </w:rPr>
        <w:fldChar w:fldCharType="begin" w:fldLock="1"/>
      </w:r>
      <w:r w:rsidR="002043D6">
        <w:rPr>
          <w:sz w:val="24"/>
          <w:szCs w:val="24"/>
        </w:rPr>
        <w:instrText>ADDIN CSL_CITATION {"citationItems":[{"id":"ITEM-1","itemData":{"abstract":"The Loneliness Taskforce was established by Dr. Keith Swanick in collaboration with Seán Moynihan of ALONE to coordinate a response to the growing issue of loneliness in Ireland. The Loneliness Taskforce aims to increase awareness of the problem and to produce a set of recommendations for Government, state agencies and all policy makers. From March 26th to April 9th 2018, the Loneliness Taskforce sought submissions from the general public, Oireachtas and Northern Ireland Assembly Members, Local Authorities, MEPs, Charities, Public Participation Networks and Volunteer Networks across the Country, both North and South. In total, 310 submissions were received. The Loneliness Taskforce includes members from the education, NGO, sporting, nursing, psychology, business and academic sectors. They have drawn on their broad range of experience, consultation with other experts and interaction with the general public through the submissions process to shape this report.","author":[{"dropping-particle":"","family":"Loneliness Taskforce","given":"","non-dropping-particle":"","parse-names":false,"suffix":""}],"id":"ITEM-1","issued":{"date-parts":[["2018"]]},"title":"A Connected Island A Report from the Loneliness Taskforce","type":"book"},"uris":["http://www.mendeley.com/documents/?uuid=716d5289-6432-47c0-87d2-f46599a834e2"]}],"mendeley":{"formattedCitation":"(Loneliness Taskforce, 2018)","manualFormatting":"Loneliness Taskforce's (2018)","plainTextFormattedCitation":"(Loneliness Taskforce, 2018)","previouslyFormattedCitation":"(Loneliness Taskforce, 2018)"},"properties":{"noteIndex":0},"schema":"https://github.com/citation-style-language/schema/raw/master/csl-citation.json"}</w:instrText>
      </w:r>
      <w:r w:rsidR="002043D6" w:rsidRPr="00AD597A">
        <w:rPr>
          <w:sz w:val="24"/>
          <w:szCs w:val="24"/>
        </w:rPr>
        <w:fldChar w:fldCharType="separate"/>
      </w:r>
      <w:r w:rsidR="002043D6" w:rsidRPr="00AD597A">
        <w:rPr>
          <w:noProof/>
          <w:sz w:val="24"/>
          <w:szCs w:val="24"/>
        </w:rPr>
        <w:t>Loneliness Taskforce</w:t>
      </w:r>
      <w:r w:rsidR="002043D6">
        <w:rPr>
          <w:noProof/>
          <w:sz w:val="24"/>
          <w:szCs w:val="24"/>
        </w:rPr>
        <w:t>'s (</w:t>
      </w:r>
      <w:r w:rsidR="002043D6" w:rsidRPr="00AD597A">
        <w:rPr>
          <w:noProof/>
          <w:sz w:val="24"/>
          <w:szCs w:val="24"/>
        </w:rPr>
        <w:t>2018)</w:t>
      </w:r>
      <w:r w:rsidR="002043D6" w:rsidRPr="00AD597A">
        <w:rPr>
          <w:sz w:val="24"/>
          <w:szCs w:val="24"/>
        </w:rPr>
        <w:fldChar w:fldCharType="end"/>
      </w:r>
      <w:r w:rsidR="002043D6">
        <w:rPr>
          <w:sz w:val="24"/>
          <w:szCs w:val="24"/>
        </w:rPr>
        <w:t xml:space="preserve"> </w:t>
      </w:r>
      <w:r w:rsidR="0051289E" w:rsidRPr="0051289E">
        <w:rPr>
          <w:sz w:val="24"/>
          <w:szCs w:val="24"/>
        </w:rPr>
        <w:t>report brought to the fore the country's 'loneliness epidemic,' advocating for enhanced governmental recognition and intervention. Since then, loneliness and social connectedness have gained increasing traction within key policy frameworks, evidenced by their inclusion in documents such as the</w:t>
      </w:r>
      <w:r w:rsidR="0051289E">
        <w:rPr>
          <w:sz w:val="24"/>
          <w:szCs w:val="24"/>
        </w:rPr>
        <w:t xml:space="preserve"> </w:t>
      </w:r>
      <w:r w:rsidRPr="00AD597A">
        <w:rPr>
          <w:i/>
          <w:iCs/>
          <w:sz w:val="24"/>
          <w:szCs w:val="24"/>
        </w:rPr>
        <w:t>Roadmap for Social Inclusion</w:t>
      </w:r>
      <w:r w:rsidRPr="00AD597A">
        <w:rPr>
          <w:sz w:val="24"/>
          <w:szCs w:val="24"/>
        </w:rPr>
        <w:t xml:space="preserve"> </w:t>
      </w:r>
      <w:r w:rsidR="000B053C" w:rsidRPr="00AD597A">
        <w:rPr>
          <w:sz w:val="24"/>
          <w:szCs w:val="24"/>
        </w:rPr>
        <w:fldChar w:fldCharType="begin" w:fldLock="1"/>
      </w:r>
      <w:r w:rsidR="000B053C" w:rsidRPr="00AD597A">
        <w:rPr>
          <w:sz w:val="24"/>
          <w:szCs w:val="24"/>
        </w:rPr>
        <w:instrText>ADDIN CSL_CITATION {"citationItems":[{"id":"ITEM-1","itemData":{"author":[{"dropping-particle":"","family":"Department for Social Protection","given":"","non-dropping-particle":"","parse-names":false,"suffix":""}],"id":"ITEM-1","issued":{"date-parts":[["2023"]]},"publisher":"Irish Government","title":"Roadmap for Social Inclusion 2020-2025","type":"book"},"uris":["http://www.mendeley.com/documents/?uuid=9dd07c17-95a3-41d2-a9a6-6ed33947b659"]}],"mendeley":{"formattedCitation":"(Department for Social Protection, 2023)","plainTextFormattedCitation":"(Department for Social Protection, 2023)","previouslyFormattedCitation":"(Department for Social Protection, 2023)"},"properties":{"noteIndex":0},"schema":"https://github.com/citation-style-language/schema/raw/master/csl-citation.json"}</w:instrText>
      </w:r>
      <w:r w:rsidR="000B053C" w:rsidRPr="00AD597A">
        <w:rPr>
          <w:sz w:val="24"/>
          <w:szCs w:val="24"/>
        </w:rPr>
        <w:fldChar w:fldCharType="separate"/>
      </w:r>
      <w:r w:rsidR="000B053C" w:rsidRPr="00AD597A">
        <w:rPr>
          <w:noProof/>
          <w:sz w:val="24"/>
          <w:szCs w:val="24"/>
        </w:rPr>
        <w:t>(Department for Social Protection, 2023)</w:t>
      </w:r>
      <w:r w:rsidR="000B053C" w:rsidRPr="00AD597A">
        <w:rPr>
          <w:sz w:val="24"/>
          <w:szCs w:val="24"/>
        </w:rPr>
        <w:fldChar w:fldCharType="end"/>
      </w:r>
      <w:r w:rsidR="000B053C" w:rsidRPr="00AD597A">
        <w:rPr>
          <w:sz w:val="24"/>
          <w:szCs w:val="24"/>
        </w:rPr>
        <w:t xml:space="preserve">, </w:t>
      </w:r>
      <w:r w:rsidRPr="00AD597A">
        <w:rPr>
          <w:sz w:val="24"/>
          <w:szCs w:val="24"/>
        </w:rPr>
        <w:t xml:space="preserve">the Health Service Executive’s </w:t>
      </w:r>
      <w:r w:rsidRPr="00AD597A">
        <w:rPr>
          <w:i/>
          <w:iCs/>
          <w:sz w:val="24"/>
          <w:szCs w:val="24"/>
        </w:rPr>
        <w:t>Mental Health Promotion Plan</w:t>
      </w:r>
      <w:r w:rsidR="00856102" w:rsidRPr="00AD597A">
        <w:rPr>
          <w:sz w:val="24"/>
          <w:szCs w:val="24"/>
        </w:rPr>
        <w:t xml:space="preserve"> </w:t>
      </w:r>
      <w:r w:rsidR="00856102" w:rsidRPr="00AD597A">
        <w:rPr>
          <w:sz w:val="24"/>
          <w:szCs w:val="24"/>
        </w:rPr>
        <w:fldChar w:fldCharType="begin" w:fldLock="1"/>
      </w:r>
      <w:r w:rsidR="004648C4">
        <w:rPr>
          <w:sz w:val="24"/>
          <w:szCs w:val="24"/>
        </w:rPr>
        <w:instrText>ADDIN CSL_CITATION {"citationItems":[{"id":"ITEM-1","itemData":{"author":[{"dropping-particle":"","family":"Doherty","given":"Aisling","non-dropping-particle":"","parse-names":false,"suffix":""},{"dropping-particle":"","family":"Sheridan","given":"Anne","non-dropping-particle":"","parse-names":false,"suffix":""},{"dropping-particle":"","family":"Chambers","given":"Derek","non-dropping-particle":"","parse-names":false,"suffix":""}],"container-title":"Mental Health Promotion Manager","id":"ITEM-1","issued":{"date-parts":[["2022"]]},"publisher":"Health Service Executive","title":"Stronger Together: The HSE Mental Health Promotion Plan 2022-2027","type":"book"},"uris":["http://www.mendeley.com/documents/?uuid=77d77006-0434-48c8-a749-3a414888d4e1"]}],"mendeley":{"formattedCitation":"(Doherty et al., 2022)","plainTextFormattedCitation":"(Doherty et al., 2022)","previouslyFormattedCitation":"(Doherty et al., 2022)"},"properties":{"noteIndex":0},"schema":"https://github.com/citation-style-language/schema/raw/master/csl-citation.json"}</w:instrText>
      </w:r>
      <w:r w:rsidR="00856102" w:rsidRPr="00AD597A">
        <w:rPr>
          <w:sz w:val="24"/>
          <w:szCs w:val="24"/>
        </w:rPr>
        <w:fldChar w:fldCharType="separate"/>
      </w:r>
      <w:r w:rsidR="000443B6" w:rsidRPr="00A066FF">
        <w:rPr>
          <w:noProof/>
          <w:sz w:val="24"/>
          <w:szCs w:val="24"/>
        </w:rPr>
        <w:t>(Doherty et al., 2022)</w:t>
      </w:r>
      <w:r w:rsidR="00856102" w:rsidRPr="00AD597A">
        <w:rPr>
          <w:sz w:val="24"/>
          <w:szCs w:val="24"/>
        </w:rPr>
        <w:fldChar w:fldCharType="end"/>
      </w:r>
      <w:r w:rsidR="00856102" w:rsidRPr="00AD597A">
        <w:rPr>
          <w:sz w:val="24"/>
          <w:szCs w:val="24"/>
        </w:rPr>
        <w:t xml:space="preserve">, </w:t>
      </w:r>
      <w:r w:rsidRPr="00AD597A">
        <w:rPr>
          <w:sz w:val="24"/>
          <w:szCs w:val="24"/>
        </w:rPr>
        <w:t xml:space="preserve">the </w:t>
      </w:r>
      <w:r w:rsidRPr="00AD597A">
        <w:rPr>
          <w:i/>
          <w:iCs/>
          <w:sz w:val="24"/>
          <w:szCs w:val="24"/>
        </w:rPr>
        <w:t xml:space="preserve">Healthy Ireland </w:t>
      </w:r>
      <w:r w:rsidRPr="00AD597A">
        <w:rPr>
          <w:sz w:val="24"/>
          <w:szCs w:val="24"/>
        </w:rPr>
        <w:t xml:space="preserve">strategy </w:t>
      </w:r>
      <w:r w:rsidR="00F07826" w:rsidRPr="00AD597A">
        <w:rPr>
          <w:sz w:val="24"/>
          <w:szCs w:val="24"/>
        </w:rPr>
        <w:fldChar w:fldCharType="begin" w:fldLock="1"/>
      </w:r>
      <w:r w:rsidR="00F07826" w:rsidRPr="00AD597A">
        <w:rPr>
          <w:sz w:val="24"/>
          <w:szCs w:val="24"/>
        </w:rPr>
        <w:instrText>ADDIN CSL_CITATION {"citationItems":[{"id":"ITEM-1","itemData":{"ISBN":"978-0-9575799-0-3","abstract":"Economic progress alone is not enough. We want a vibrant Irish society where everybody participates and feels they belong. Health and wellbeing is fundamental to this. Much of our improved health status is due to progress in the formal health sector. A great deal of it is due also to actions and developments in other areas -clean air and water, better housing, safer roads, safer food, safer workplaces, actions to address poverty and inequality. All have an impact and we want to make sure that all sectors appreciate that they have a role to play and that health and wellbeing is affected by a whole range of factors across the life course. Equally, we are seeing different health problems emerging; frequently the cause is our modern lifestyle. This trend is worrying and unless we make some significant changes, we are facing an unhealthy and costly future. The health sector alone cannot address these problems; we must change our approach. That is what Healthy Ireland is about -taking some important steps towards making Ireland a healthier and more prosperous nation. It is the Framework which will bring together people and organisations from the length and breadth of the country into a national movement with one aim: supporting all of us to enjoy the best possible health and wellbeing. It is designed to include Government Departments, local authorities and public bodies, businesses and employers, sports and voluntary groups, communities and families. Through Healthy Ireland, its goals and actions, and through working together, we will create a coherent policy and sustainable co-operative action for health and wellbeing. An essential part of this is to develop by the end of this year the measurements to make sure we are making the progress that we want. At Government level the Cabinet Committee on Social Policy will oversee implementation of the Framework.","author":[{"dropping-particle":"","family":"Department of Health","given":"","non-dropping-particle":"","parse-names":false,"suffix":""}],"id":"ITEM-1","issued":{"date-parts":[["2013"]]},"publisher":"Government of Ireland","publisher-place":"Dublin","title":"Healthy Ireland - A framework for improved health and wellbeing 2013 - 2025","type":"book"},"uris":["http://www.mendeley.com/documents/?uuid=4283d070-48b1-420e-8a59-77e87e49a8fc"]}],"mendeley":{"formattedCitation":"(Department of Health, 2013)","plainTextFormattedCitation":"(Department of Health, 2013)","previouslyFormattedCitation":"(Department of Health, 2013)"},"properties":{"noteIndex":0},"schema":"https://github.com/citation-style-language/schema/raw/master/csl-citation.json"}</w:instrText>
      </w:r>
      <w:r w:rsidR="00F07826" w:rsidRPr="00AD597A">
        <w:rPr>
          <w:sz w:val="24"/>
          <w:szCs w:val="24"/>
        </w:rPr>
        <w:fldChar w:fldCharType="separate"/>
      </w:r>
      <w:r w:rsidR="00F07826" w:rsidRPr="00AD597A">
        <w:rPr>
          <w:noProof/>
          <w:sz w:val="24"/>
          <w:szCs w:val="24"/>
        </w:rPr>
        <w:t>(Department of Health, 2013)</w:t>
      </w:r>
      <w:r w:rsidR="00F07826" w:rsidRPr="00AD597A">
        <w:rPr>
          <w:sz w:val="24"/>
          <w:szCs w:val="24"/>
        </w:rPr>
        <w:fldChar w:fldCharType="end"/>
      </w:r>
      <w:r w:rsidR="00F07826" w:rsidRPr="00AD597A">
        <w:rPr>
          <w:sz w:val="24"/>
          <w:szCs w:val="24"/>
        </w:rPr>
        <w:t xml:space="preserve">, </w:t>
      </w:r>
      <w:r w:rsidRPr="00AD597A">
        <w:rPr>
          <w:sz w:val="24"/>
          <w:szCs w:val="24"/>
        </w:rPr>
        <w:t xml:space="preserve">and </w:t>
      </w:r>
      <w:r w:rsidRPr="00AD597A">
        <w:rPr>
          <w:i/>
          <w:iCs/>
          <w:sz w:val="24"/>
          <w:szCs w:val="24"/>
        </w:rPr>
        <w:t>Connecting for Life: Ireland’s National Strategy to Reduce Suicide</w:t>
      </w:r>
      <w:r w:rsidRPr="00AD597A">
        <w:rPr>
          <w:sz w:val="24"/>
          <w:szCs w:val="24"/>
        </w:rPr>
        <w:t xml:space="preserve"> </w:t>
      </w:r>
      <w:r w:rsidR="001B21A2" w:rsidRPr="00AD597A">
        <w:rPr>
          <w:sz w:val="24"/>
          <w:szCs w:val="24"/>
        </w:rPr>
        <w:fldChar w:fldCharType="begin" w:fldLock="1"/>
      </w:r>
      <w:r w:rsidR="001B21A2" w:rsidRPr="00AD597A">
        <w:rPr>
          <w:sz w:val="24"/>
          <w:szCs w:val="24"/>
        </w:rPr>
        <w:instrText>ADDIN CSL_CITATION {"citationItems":[{"id":"ITEM-1","itemData":{"abstract":"National Office for Suicide Prevention \" Everyone has a role to play in suicide prevention.\" Submission reference number: 54 \" All I ask for is a system of care that gives sufferers and their loved ones the best possible chance of survival and recovery.\" Submission reference number: 134 Connecting for Life is Ireland's National Strategy to reduce suicide (2015-2020). The development of the strategy was a collaborative and inclusive process. Some of the most important contributions to the development of 'Connecting for Life' came from our public consultation process. We received 272 submissions from people and organisations, which included members of the general public, people who have used our services and their families, professional bodies and community interests and organisations.","author":[{"dropping-particle":"","family":"Department for Health","given":"","non-dropping-particle":"","parse-names":false,"suffix":""}],"id":"ITEM-1","issued":{"date-parts":[["2015"]]},"number-of-pages":"1-152","publisher":"Department of Health","publisher-place":"Dublin","title":"Connecting for Life, Ireland’s National Strategy to Reduce Suicide","type":"book"},"uris":["http://www.mendeley.com/documents/?uuid=54af17cc-9aaf-4546-abc6-4e8945665c34"]}],"mendeley":{"formattedCitation":"(Department for Health, 2015)","plainTextFormattedCitation":"(Department for Health, 2015)","previouslyFormattedCitation":"(Department for Health, 2015)"},"properties":{"noteIndex":0},"schema":"https://github.com/citation-style-language/schema/raw/master/csl-citation.json"}</w:instrText>
      </w:r>
      <w:r w:rsidR="001B21A2" w:rsidRPr="00AD597A">
        <w:rPr>
          <w:sz w:val="24"/>
          <w:szCs w:val="24"/>
        </w:rPr>
        <w:fldChar w:fldCharType="separate"/>
      </w:r>
      <w:r w:rsidR="001B21A2" w:rsidRPr="00AD597A">
        <w:rPr>
          <w:noProof/>
          <w:sz w:val="24"/>
          <w:szCs w:val="24"/>
        </w:rPr>
        <w:t>(Department for Health, 2015)</w:t>
      </w:r>
      <w:r w:rsidR="001B21A2" w:rsidRPr="00AD597A">
        <w:rPr>
          <w:sz w:val="24"/>
          <w:szCs w:val="24"/>
        </w:rPr>
        <w:fldChar w:fldCharType="end"/>
      </w:r>
      <w:r w:rsidR="001B21A2" w:rsidRPr="00AD597A">
        <w:rPr>
          <w:sz w:val="24"/>
          <w:szCs w:val="24"/>
        </w:rPr>
        <w:t xml:space="preserve">. </w:t>
      </w:r>
      <w:r w:rsidR="00796A3E" w:rsidRPr="00796A3E">
        <w:rPr>
          <w:sz w:val="24"/>
          <w:szCs w:val="24"/>
        </w:rPr>
        <w:t xml:space="preserve">However, this growing acknowledgement contrasts sharply with the current Programme for Government </w:t>
      </w:r>
      <w:r w:rsidR="00796A3E" w:rsidRPr="009C059C">
        <w:rPr>
          <w:sz w:val="24"/>
          <w:szCs w:val="24"/>
        </w:rPr>
        <w:t>(Government of Ireland, 2025)</w:t>
      </w:r>
      <w:r w:rsidR="00796A3E">
        <w:rPr>
          <w:sz w:val="24"/>
          <w:szCs w:val="24"/>
        </w:rPr>
        <w:t xml:space="preserve">, </w:t>
      </w:r>
      <w:r w:rsidR="00796A3E" w:rsidRPr="00796A3E">
        <w:rPr>
          <w:sz w:val="24"/>
          <w:szCs w:val="24"/>
        </w:rPr>
        <w:t>which notably lacks substantive policy initiatives specifically targeting loneliness and social connectedness, despite a recent Seanad Éireann debate in May 2024 that underscored the issue's critical importance</w:t>
      </w:r>
      <w:r w:rsidR="004F0BC1" w:rsidRPr="00AD597A">
        <w:rPr>
          <w:rStyle w:val="FootnoteReference"/>
          <w:sz w:val="24"/>
          <w:szCs w:val="24"/>
        </w:rPr>
        <w:footnoteReference w:id="1"/>
      </w:r>
      <w:r w:rsidR="00796A3E" w:rsidRPr="00796A3E">
        <w:rPr>
          <w:sz w:val="24"/>
          <w:szCs w:val="24"/>
        </w:rPr>
        <w:t>. This discrepancy raises concerns about a potential disconnect between parliamentary discourse, policy rhetoric, and concrete executive action.</w:t>
      </w:r>
    </w:p>
    <w:p w14:paraId="7104A724" w14:textId="5657972C" w:rsidR="000F3BED" w:rsidRPr="00AD597A" w:rsidRDefault="00366678" w:rsidP="000F3BED">
      <w:pPr>
        <w:spacing w:line="360" w:lineRule="auto"/>
        <w:rPr>
          <w:sz w:val="24"/>
          <w:szCs w:val="24"/>
        </w:rPr>
      </w:pPr>
      <w:r>
        <w:rPr>
          <w:sz w:val="24"/>
          <w:szCs w:val="24"/>
        </w:rPr>
        <w:t>Additionally</w:t>
      </w:r>
      <w:r w:rsidR="000F3BED" w:rsidRPr="00AD597A">
        <w:rPr>
          <w:sz w:val="24"/>
          <w:szCs w:val="24"/>
        </w:rPr>
        <w:t>, Irish research on this important subject has primarily focused on narrow sub-groups, such as older people</w:t>
      </w:r>
      <w:r>
        <w:rPr>
          <w:sz w:val="24"/>
          <w:szCs w:val="24"/>
        </w:rPr>
        <w:t>,</w:t>
      </w:r>
      <w:r w:rsidR="000F3BED" w:rsidRPr="00AD597A">
        <w:rPr>
          <w:sz w:val="24"/>
          <w:szCs w:val="24"/>
        </w:rPr>
        <w:t xml:space="preserve"> and </w:t>
      </w:r>
      <w:r>
        <w:rPr>
          <w:sz w:val="24"/>
          <w:szCs w:val="24"/>
        </w:rPr>
        <w:t xml:space="preserve">to a lesser extent, </w:t>
      </w:r>
      <w:r w:rsidR="000F3BED" w:rsidRPr="00AD597A">
        <w:rPr>
          <w:sz w:val="24"/>
          <w:szCs w:val="24"/>
        </w:rPr>
        <w:t xml:space="preserve">adolescents </w:t>
      </w:r>
      <w:r w:rsidR="00B50EF1" w:rsidRPr="00AD597A">
        <w:rPr>
          <w:sz w:val="24"/>
          <w:szCs w:val="24"/>
        </w:rPr>
        <w:fldChar w:fldCharType="begin" w:fldLock="1"/>
      </w:r>
      <w:r w:rsidR="004648C4">
        <w:rPr>
          <w:sz w:val="24"/>
          <w:szCs w:val="24"/>
        </w:rPr>
        <w:instrText>ADDIN CSL_CITATION {"citationItems":[{"id":"ITEM-1","itemData":{"DOI":"10.1017/S0144686X08007526","ISSN":"0144686X","abstract":"This paper reports a study of the risk factors for social and emotional loneliness among older people in Ireland. Using the 'Social and Emotional Scale for Adults', the social and emotional dimensions of loneliness were measured. Emotional loneliness was conceptualised as having elements of both family loneliness and romantic loneliness. The data were collected through a national telephone survey of loneliness in older people conducted in 2004 that completed interviews with 683 people aged 65 or more years. It was found that levels of social and family loneliness were low, but that romantic loneliness was relatively high. Predictors for social loneliness were identified as greater age, poorer health, living in a rural area, and lack of contact with friends. Living in a rural setting, gender (male), having a lower income, being widowed, no access to transport, infrequent contact with children and relatives and caring for a spouse or relative at home were significant predictors of family loneliness. Romantic loneliness was predicted by marital status, in particular being widowed. Never having married or being divorced or separated were also significant predictors for romantic loneliness. The findings indicate that loneliness for older people is variable, multi-dimensional and experienced differently according to life events, with, for example, the death of a partner being followed by the experience of emotional loneliness, or the loss of friends or declining health leading to social loneliness. © 2008 Cambridge University Press.","author":[{"dropping-particle":"","family":"Drennan","given":"Jonathan","non-dropping-particle":"","parse-names":false,"suffix":""},{"dropping-particle":"","family":"Treacy","given":"Margaret","non-dropping-particle":"","parse-names":false,"suffix":""},{"dropping-particle":"","family":"Butler","given":"Michelle","non-dropping-particle":"","parse-names":false,"suffix":""},{"dropping-particle":"","family":"Byrne","given":"Anne","non-dropping-particle":"","parse-names":false,"suffix":""},{"dropping-particle":"","family":"Fealy","given":"Gerard","non-dropping-particle":"","parse-names":false,"suffix":""},{"dropping-particle":"","family":"Frazer","given":"Kate","non-dropping-particle":"","parse-names":false,"suffix":""},{"dropping-particle":"","family":"Irving","given":"Kate","non-dropping-particle":"","parse-names":false,"suffix":""}],"container-title":"Ageing and Society","id":"ITEM-1","issue":"8","issued":{"date-parts":[["2008"]]},"page":"1113-1132","title":"The experience of social and emotional loneliness among older people in Ireland","type":"article-journal","volume":"28"},"uris":["http://www.mendeley.com/documents/?uuid=ec1247e5-f999-4c73-af25-f0511374ecf6"]},{"id":"ITEM-2","itemData":{"ISBN":"9781907894244","abstract":"Selected Key Findigs: The absence of strong social supports in the form of loneliness and social isolation have been shown to be harmful to the wellbeing of older adults; Almost one third of adults aged 50+ in Ireland experienced emotional loneliness at least some of the time and 7.0% often felt lonely; Average loneliness scores on the University of California, Los Angeles Loneliness scale were low at 2.1 from a maximum of 10. Lower scores reflect less loneliness; Loneliness did not increase linearly with age but decreased from 50 years to 67 before increasing in older age; Participants aged 75 years and older were more likely than younger participants to report being moderately lonely; Lower levels of education and living alone were associated with higher levels of loneliness; Poor self-rated health, functional limitations, and chronic conditions were associated with higher levels of loneliness; Loneliness was associated with significantly poorer quality of life; More than three quarters (76.6%) of the loneliest third of older adults had clinically significant depressive symptomology when assessed using the Center for Epidemiologic Studies Depression Scale (CES-D); Using the Berkman-Syme Social Network Index (SNI), 21.9% of participants were in the most integrated group, 39.9% were moderately integrated, 29.6% were moderately isolated, and 8.6% were in the most isolated group; Average social isolation scores improved from the age of 50 years to 68 years before deteriorating in older age; Participants who had completed third level education (27.3%) were significantly more likely than those who had primary education only (15.2%) to be in the most socially integrated group.","author":[{"dropping-particle":"","family":"Ward","given":"Mark","non-dropping-particle":"","parse-names":false,"suffix":""},{"dropping-particle":"","family":"Layte","given":"Richard","non-dropping-particle":"","parse-names":false,"suffix":""},{"dropping-particle":"","family":"Kenny","given":"R.A.","non-dropping-particle":"","parse-names":false,"suffix":""}],"id":"ITEM-2","issued":{"date-parts":[["2019"]]},"publisher":"Trinity College","publisher-place":"Dublin","title":"Loneliness, social isolation, and their discordance among older adults","type":"book"},"uris":["http://www.mendeley.com/documents/?uuid=26098c84-0c6f-4e98-b8e5-e484a6095b86"]},{"id":"ITEM-3","itemData":{"DOI":"10.1080/03033910.2000.10558256","ISSN":"03033910","abstract":"Using a cross-sectional design, adolescent loneliness was explored in a sample of 1090 Irish adolescents (396 male and 688 female) drawn from the 2nd year and transition/5th year of 23 secondary schools from 8 counties across the Irish Republic. The Louvain Loneliness Scale for Children and Adolescents (LLCA) was administered to this sample and the results from the 4 sub-scales (Parent-Related and Peer-Related Loneliness, Aversion to and Affinity for Aloneness) compared across the age-groups and by gender. A significant drop in parent and peer-related loneliness across adolescence was found suggesting that early adolescence is a time of greater vulnerability for loneliness.","author":[{"dropping-particle":"","family":"Roiste","given":"Áine","non-dropping-particle":"De","parse-names":false,"suffix":""}],"container-title":"Irish Journal of Psychology","id":"ITEM-3","issue":"3-4","issued":{"date-parts":[["2000"]]},"page":"237-246","title":"Peer and parent-related loneliness in Irish adolescents","type":"article-journal","volume":"21"},"uris":["http://www.mendeley.com/documents/?uuid=1add013b-4e71-434d-921f-fee4c99857ae"]}],"mendeley":{"formattedCitation":"(De Roiste, 2000; Drennan et al., 2008; Ward et al., 2019)","plainTextFormattedCitation":"(De Roiste, 2000; Drennan et al., 2008; Ward et al., 2019)","previouslyFormattedCitation":"(De Roiste, 2000; Drennan et al., 2008; Ward et al., 2019)"},"properties":{"noteIndex":0},"schema":"https://github.com/citation-style-language/schema/raw/master/csl-citation.json"}</w:instrText>
      </w:r>
      <w:r w:rsidR="00B50EF1" w:rsidRPr="00AD597A">
        <w:rPr>
          <w:sz w:val="24"/>
          <w:szCs w:val="24"/>
        </w:rPr>
        <w:fldChar w:fldCharType="separate"/>
      </w:r>
      <w:r w:rsidR="00A066FF" w:rsidRPr="00A066FF">
        <w:rPr>
          <w:noProof/>
          <w:sz w:val="24"/>
          <w:szCs w:val="24"/>
        </w:rPr>
        <w:t>(De Roiste, 2000; Drennan et al., 2008; Ward et al., 2019)</w:t>
      </w:r>
      <w:r w:rsidR="00B50EF1" w:rsidRPr="00AD597A">
        <w:rPr>
          <w:sz w:val="24"/>
          <w:szCs w:val="24"/>
        </w:rPr>
        <w:fldChar w:fldCharType="end"/>
      </w:r>
      <w:r w:rsidR="00B50EF1" w:rsidRPr="00AD597A">
        <w:rPr>
          <w:sz w:val="24"/>
          <w:szCs w:val="24"/>
        </w:rPr>
        <w:t xml:space="preserve">, </w:t>
      </w:r>
      <w:r w:rsidR="000F3BED" w:rsidRPr="00AD597A">
        <w:rPr>
          <w:sz w:val="24"/>
          <w:szCs w:val="24"/>
        </w:rPr>
        <w:t xml:space="preserve">leaving a significant gap in understanding loneliness across the general adult population. International evidence suggests that loneliness affects all age groups, with mid-life loneliness representing a serious and often overlooked problem </w:t>
      </w:r>
      <w:r w:rsidR="00404455" w:rsidRPr="00AD597A">
        <w:rPr>
          <w:sz w:val="24"/>
          <w:szCs w:val="24"/>
        </w:rPr>
        <w:fldChar w:fldCharType="begin" w:fldLock="1"/>
      </w:r>
      <w:r w:rsidR="004648C4">
        <w:rPr>
          <w:sz w:val="24"/>
          <w:szCs w:val="24"/>
        </w:rPr>
        <w:instrText>ADDIN CSL_CITATION {"citationItems":[{"id":"ITEM-1","itemData":{"DOI":"10.1037/amp0001322","ISBN":"0000000348362","ISSN":"1935990X","abstract":"Loneliness is gaining attention globally as a public health issue because elevated loneliness increases one’s risk for depression, compromised immunity, chronic illness, and mortality. Our objective is to zoom into how loneliness has historically evolved through midlife and investigate whether elevations in loneliness are confined to the United States or are similarly transpiring across peer European nations. We use harmonized data on loneliness from nationally representative longitudinal panel surveys from the United States and 13 European nations to directly quantify similarities and differences in historical change of midlife loneliness trajectories. Compared with any other European nation/region, overall levels of loneliness in the United States are consistently higher by a magnitude of 0.3–0.8 SDs. Middle-aged adults in the United States, England, and Mediterranean Europe today report higher levels of loneliness than earlier born cohorts, whereas no historical changes (if not historically lower levels) were observed in Continental and Nordic Europe. Our discussion focuses on possible reasons for cross-national differences in midlife loneliness, including cultural factors, social and economic inequalities, and differences in social safety nets.","author":[{"dropping-particle":"","family":"Infurna","given":"Frank J.","non-dropping-particle":"","parse-names":false,"suffix":""},{"dropping-particle":"","family":"Dey","given":"Nutifafa E.Y.","non-dropping-particle":"","parse-names":false,"suffix":""},{"dropping-particle":"","family":"Avilés","given":"Tita Gonzalez","non-dropping-particle":"","parse-names":false,"suffix":""},{"dropping-particle":"","family":"Grimm","given":"Kevin J.","non-dropping-particle":"","parse-names":false,"suffix":""},{"dropping-particle":"","family":"Lachman","given":"Margie E.","non-dropping-particle":"","parse-names":false,"suffix":""},{"dropping-particle":"","family":"Gerstorf","given":"Denis","non-dropping-particle":"","parse-names":false,"suffix":""}],"container-title":"American Psychologist","id":"ITEM-1","issued":{"date-parts":[["2024"]]},"title":"Loneliness in Midlife: Historical Increases and Elevated Levels in the United States Compared With Europe","type":"article-journal"},"uris":["http://www.mendeley.com/documents/?uuid=1b86b015-a28b-481a-8b11-a99e574b62ed"]}],"mendeley":{"formattedCitation":"(Infurna et al., 2024)","plainTextFormattedCitation":"(Infurna et al., 2024)","previouslyFormattedCitation":"(Infurna et al., 2024)"},"properties":{"noteIndex":0},"schema":"https://github.com/citation-style-language/schema/raw/master/csl-citation.json"}</w:instrText>
      </w:r>
      <w:r w:rsidR="00404455" w:rsidRPr="00AD597A">
        <w:rPr>
          <w:sz w:val="24"/>
          <w:szCs w:val="24"/>
        </w:rPr>
        <w:fldChar w:fldCharType="separate"/>
      </w:r>
      <w:r w:rsidR="00404455" w:rsidRPr="00A066FF">
        <w:rPr>
          <w:noProof/>
          <w:sz w:val="24"/>
          <w:szCs w:val="24"/>
        </w:rPr>
        <w:t>(Infurna et al., 2024)</w:t>
      </w:r>
      <w:r w:rsidR="00404455" w:rsidRPr="00AD597A">
        <w:rPr>
          <w:sz w:val="24"/>
          <w:szCs w:val="24"/>
        </w:rPr>
        <w:fldChar w:fldCharType="end"/>
      </w:r>
      <w:r w:rsidR="00404455" w:rsidRPr="00AD597A">
        <w:rPr>
          <w:sz w:val="24"/>
          <w:szCs w:val="24"/>
        </w:rPr>
        <w:t xml:space="preserve">, </w:t>
      </w:r>
      <w:r w:rsidR="000F3BED" w:rsidRPr="00AD597A">
        <w:rPr>
          <w:sz w:val="24"/>
          <w:szCs w:val="24"/>
        </w:rPr>
        <w:t xml:space="preserve">with implications for work performance, relationships </w:t>
      </w:r>
      <w:r w:rsidR="00557D5A" w:rsidRPr="00AD597A">
        <w:rPr>
          <w:sz w:val="24"/>
          <w:szCs w:val="24"/>
        </w:rPr>
        <w:fldChar w:fldCharType="begin" w:fldLock="1"/>
      </w:r>
      <w:r w:rsidR="004648C4">
        <w:rPr>
          <w:sz w:val="24"/>
          <w:szCs w:val="24"/>
        </w:rPr>
        <w:instrText>ADDIN CSL_CITATION {"citationItems":[{"id":"ITEM-1","itemData":{"DOI":"10.1177/17579139211018243","ISSN":"17579147","PMID":"34286652","abstract":"Aims: Chronic loneliness is experienced by around a third of parents, but there is no comprehensive review into how, why and which parents experience loneliness. This scoping review aimed to provide insight into what is already known about parental loneliness and give directions for further applied and methodological research. Methods: Searches for peer-reviewed articles were undertaken in six databases: PsycINFO, Medline, CINAHL, Embase, Web of Science and Scopus, during May 2019 to February 2020. We searched for English studies which examined loneliness experienced during parenthood, including studies that involved parents with children under 16 years and living at home and excluding studies on pregnancy, childbirth or postbirth hospital care. Results: From 2566 studies retrieved, 133 were included for analysis. Most studies (n = 80) examined the experience of loneliness in specific groups of parents, for example, teenage parents, parents of a disabled child. Other studies examined theoretical issues (n = 6) or health and wellbeing impacts on parents (n = 16) and their offspring (n = 17). There were 14 intervention studies with parents that measured loneliness as an outcome. Insights indicate that parental loneliness may be different to loneliness experienced in other cohorts. There is evidence that parental loneliness has direct and intergenerational impacts on parent and child mental health. Some parents (e.g. with children with chronic illness or disability, immigrant or ethnic minority parents) also appear to be at increased risk of loneliness although evidence is not conclusive. Conclusion: This work has identified key gaps with further international, comparative and conceptual research needed.","author":[{"dropping-particle":"","family":"Nowland","given":"R.","non-dropping-particle":"","parse-names":false,"suffix":""},{"dropping-particle":"","family":"Thomson","given":"G.","non-dropping-particle":"","parse-names":false,"suffix":""},{"dropping-particle":"","family":"McNally","given":"L.","non-dropping-particle":"","parse-names":false,"suffix":""},{"dropping-particle":"","family":"Smith","given":"T.","non-dropping-particle":"","parse-names":false,"suffix":""},{"dropping-particle":"","family":"Whittaker","given":"K.","non-dropping-particle":"","parse-names":false,"suffix":""}],"container-title":"Perspectives in Public Health","id":"ITEM-1","issue":"4","issued":{"date-parts":[["2021"]]},"page":"214-225","title":"Experiencing loneliness in parenthood: a scoping review","type":"article-journal","volume":"141"},"uris":["http://www.mendeley.com/documents/?uuid=1e1db8ca-662b-4f1b-a14f-a9f834ee39b3"]}],"mendeley":{"formattedCitation":"(Nowland et al., 2021)","plainTextFormattedCitation":"(Nowland et al., 2021)","previouslyFormattedCitation":"(Nowland et al., 2021)"},"properties":{"noteIndex":0},"schema":"https://github.com/citation-style-language/schema/raw/master/csl-citation.json"}</w:instrText>
      </w:r>
      <w:r w:rsidR="00557D5A" w:rsidRPr="00AD597A">
        <w:rPr>
          <w:sz w:val="24"/>
          <w:szCs w:val="24"/>
        </w:rPr>
        <w:fldChar w:fldCharType="separate"/>
      </w:r>
      <w:r w:rsidR="00557D5A" w:rsidRPr="00A066FF">
        <w:rPr>
          <w:noProof/>
          <w:sz w:val="24"/>
          <w:szCs w:val="24"/>
        </w:rPr>
        <w:t>(Nowland et al., 2021)</w:t>
      </w:r>
      <w:r w:rsidR="00557D5A" w:rsidRPr="00AD597A">
        <w:rPr>
          <w:sz w:val="24"/>
          <w:szCs w:val="24"/>
        </w:rPr>
        <w:fldChar w:fldCharType="end"/>
      </w:r>
      <w:r w:rsidR="00A06530" w:rsidRPr="00AD597A">
        <w:rPr>
          <w:sz w:val="24"/>
          <w:szCs w:val="24"/>
        </w:rPr>
        <w:t xml:space="preserve">, </w:t>
      </w:r>
      <w:r w:rsidR="000F3BED" w:rsidRPr="00AD597A">
        <w:rPr>
          <w:sz w:val="24"/>
          <w:szCs w:val="24"/>
        </w:rPr>
        <w:t xml:space="preserve">and even suicide </w:t>
      </w:r>
      <w:r w:rsidR="0045127B" w:rsidRPr="00AD597A">
        <w:rPr>
          <w:sz w:val="24"/>
          <w:szCs w:val="24"/>
        </w:rPr>
        <w:fldChar w:fldCharType="begin" w:fldLock="1"/>
      </w:r>
      <w:r w:rsidR="004648C4">
        <w:rPr>
          <w:sz w:val="24"/>
          <w:szCs w:val="24"/>
        </w:rPr>
        <w:instrText>ADDIN CSL_CITATION {"citationItems":[{"id":"ITEM-1","itemData":{"DOI":"10.1016/j.jad.2020.05.004","ISSN":"15732517","PMID":"32664029","abstract":"Background: Suicide and suicidal behaviour are global health concerns with complex aetiologies. Given the recent research and policy focus on loneliness, this systematic review aimed to determine the extent to which loneliness predicts suicidal ideation and/or behaviour (SIB) over time. Methods: A keyword search of five major databases (CINHAL, Medline, PsychArticles, PsychInfo and Web of Knowledge) was conducted. Papers for inclusion were limited to those using a prospective longitudinal design, written in English and which measured loneliness at baseline and SIB at a later time-point. Results: After duplicates were removed, 947 original potential papers were identified, with 22 studies meeting the review criteria. Meta-analysis revealed loneliness was a significant predictor of both suicidal ideation and behaviour and there was evidence that depression acted as a mediator. Furthermore, studies which consisted of predominantly female participants were more likely to report a significant relationship, as were studies where participants were aged 16–20 or &gt;55 years at baseline. Limitations: There was considerable variability in measures, samples and methodologies used across the studies. Middle-aged adults were under-represented, as were individuals from minority ethnic backgrounds. All studies were conducted in countries where self-reliance and independence (i.e. individualism) are the cultural norm. Conclusions: Loneliness predicts later SIB in select populations. However, due to the heterogeneity of the studies further research is needed to draw more robust conclusions. Suicide death also needs to be included as an outcome measure. A focus on more collectivist countries is also required.","author":[{"dropping-particle":"","family":"McClelland","given":"Heather","non-dropping-particle":"","parse-names":false,"suffix":""},{"dropping-particle":"","family":"Evans","given":"Jonathan J.","non-dropping-particle":"","parse-names":false,"suffix":""},{"dropping-particle":"","family":"Nowland","given":"Rebecca","non-dropping-particle":"","parse-names":false,"suffix":""},{"dropping-particle":"","family":"Ferguson","given":"Eamonn","non-dropping-particle":"","parse-names":false,"suffix":""},{"dropping-particle":"","family":"O'Connor","given":"Rory C.","non-dropping-particle":"","parse-names":false,"suffix":""}],"container-title":"Journal of Affective Disorders","id":"ITEM-1","issue":"October 2019","issued":{"date-parts":[["2020"]]},"page":"880-896","publisher":"Elsevier B.V.","title":"Loneliness as a predictor of suicidal ideation and behaviour: a systematic review and meta-analysis of prospective studies","type":"article-journal","volume":"274"},"uris":["http://www.mendeley.com/documents/?uuid=8aa291c5-2880-4db4-bf60-3c56cfe510ce"]}],"mendeley":{"formattedCitation":"(McClelland et al., 2020)","plainTextFormattedCitation":"(McClelland et al., 2020)","previouslyFormattedCitation":"(McClelland et al., 2020)"},"properties":{"noteIndex":0},"schema":"https://github.com/citation-style-language/schema/raw/master/csl-citation.json"}</w:instrText>
      </w:r>
      <w:r w:rsidR="0045127B" w:rsidRPr="00AD597A">
        <w:rPr>
          <w:sz w:val="24"/>
          <w:szCs w:val="24"/>
        </w:rPr>
        <w:fldChar w:fldCharType="separate"/>
      </w:r>
      <w:r w:rsidR="0045127B" w:rsidRPr="00A066FF">
        <w:rPr>
          <w:noProof/>
          <w:sz w:val="24"/>
          <w:szCs w:val="24"/>
        </w:rPr>
        <w:t>(McClelland et al., 2020)</w:t>
      </w:r>
      <w:r w:rsidR="0045127B" w:rsidRPr="00AD597A">
        <w:rPr>
          <w:sz w:val="24"/>
          <w:szCs w:val="24"/>
        </w:rPr>
        <w:fldChar w:fldCharType="end"/>
      </w:r>
      <w:r w:rsidR="0045127B" w:rsidRPr="00AD597A">
        <w:rPr>
          <w:sz w:val="24"/>
          <w:szCs w:val="24"/>
        </w:rPr>
        <w:t xml:space="preserve">. </w:t>
      </w:r>
      <w:r w:rsidR="000F3BED" w:rsidRPr="00AD597A">
        <w:rPr>
          <w:sz w:val="24"/>
          <w:szCs w:val="24"/>
        </w:rPr>
        <w:t xml:space="preserve">The </w:t>
      </w:r>
      <w:r w:rsidR="0010737D" w:rsidRPr="00AD597A">
        <w:rPr>
          <w:sz w:val="24"/>
          <w:szCs w:val="24"/>
        </w:rPr>
        <w:fldChar w:fldCharType="begin" w:fldLock="1"/>
      </w:r>
      <w:r w:rsidR="002011B8" w:rsidRPr="00AD597A">
        <w:rPr>
          <w:sz w:val="24"/>
          <w:szCs w:val="24"/>
        </w:rPr>
        <w:instrText>ADDIN CSL_CITATION {"citationItems":[{"id":"ITEM-1","itemData":{"abstract":"The Loneliness Taskforce was established by Dr. Keith Swanick in collaboration with Seán Moynihan of ALONE to coordinate a response to the growing issue of loneliness in Ireland. The Loneliness Taskforce aims to increase awareness of the problem and to produce a set of recommendations for Government, state agencies and all policy makers. From March 26th to April 9th 2018, the Loneliness Taskforce sought submissions from the general public, Oireachtas and Northern Ireland Assembly Members, Local Authorities, MEPs, Charities, Public Participation Networks and Volunteer Networks across the Country, both North and South. In total, 310 submissions were received. The Loneliness Taskforce includes members from the education, NGO, sporting, nursing, psychology, business and academic sectors. They have drawn on their broad range of experience, consultation with other experts and interaction with the general public through the submissions process to shape this report.","author":[{"dropping-particle":"","family":"Loneliness Taskforce","given":"","non-dropping-particle":"","parse-names":false,"suffix":""}],"id":"ITEM-1","issued":{"date-parts":[["2018"]]},"title":"A Connected Island A Report from the Loneliness Taskforce","type":"book"},"uris":["http://www.mendeley.com/documents/?uuid=716d5289-6432-47c0-87d2-f46599a834e2"]}],"mendeley":{"formattedCitation":"(Loneliness Taskforce, 2018)","manualFormatting":"Loneliness Taskforce (2018)","plainTextFormattedCitation":"(Loneliness Taskforce, 2018)","previouslyFormattedCitation":"(Loneliness Taskforce, 2018)"},"properties":{"noteIndex":0},"schema":"https://github.com/citation-style-language/schema/raw/master/csl-citation.json"}</w:instrText>
      </w:r>
      <w:r w:rsidR="0010737D" w:rsidRPr="00AD597A">
        <w:rPr>
          <w:sz w:val="24"/>
          <w:szCs w:val="24"/>
        </w:rPr>
        <w:fldChar w:fldCharType="separate"/>
      </w:r>
      <w:r w:rsidR="0010737D" w:rsidRPr="00AD597A">
        <w:rPr>
          <w:noProof/>
          <w:sz w:val="24"/>
          <w:szCs w:val="24"/>
        </w:rPr>
        <w:t>Loneliness Taskforce (2018)</w:t>
      </w:r>
      <w:r w:rsidR="0010737D" w:rsidRPr="00AD597A">
        <w:rPr>
          <w:sz w:val="24"/>
          <w:szCs w:val="24"/>
        </w:rPr>
        <w:fldChar w:fldCharType="end"/>
      </w:r>
      <w:r w:rsidR="0010737D" w:rsidRPr="00AD597A">
        <w:rPr>
          <w:sz w:val="24"/>
          <w:szCs w:val="24"/>
        </w:rPr>
        <w:t xml:space="preserve"> </w:t>
      </w:r>
      <w:r w:rsidR="000F3BED" w:rsidRPr="00AD597A">
        <w:rPr>
          <w:sz w:val="24"/>
          <w:szCs w:val="24"/>
        </w:rPr>
        <w:t xml:space="preserve">recommended that Irish research identify groups, </w:t>
      </w:r>
      <w:r w:rsidR="000F3BED" w:rsidRPr="00AD597A">
        <w:rPr>
          <w:sz w:val="24"/>
          <w:szCs w:val="24"/>
        </w:rPr>
        <w:lastRenderedPageBreak/>
        <w:t>demographics, and locations particularly vulnerable to loneliness, and further explore its effects on mental well-being. In response to this call</w:t>
      </w:r>
      <w:r w:rsidR="009B5457" w:rsidRPr="00AD597A">
        <w:rPr>
          <w:sz w:val="24"/>
          <w:szCs w:val="24"/>
        </w:rPr>
        <w:t>,</w:t>
      </w:r>
      <w:r w:rsidR="000F3BED" w:rsidRPr="00AD597A">
        <w:rPr>
          <w:sz w:val="24"/>
          <w:szCs w:val="24"/>
        </w:rPr>
        <w:t xml:space="preserve"> and to address existing knowledge gap</w:t>
      </w:r>
      <w:r w:rsidR="009B5457" w:rsidRPr="00AD597A">
        <w:rPr>
          <w:sz w:val="24"/>
          <w:szCs w:val="24"/>
        </w:rPr>
        <w:t>s</w:t>
      </w:r>
      <w:r w:rsidR="000F3BED" w:rsidRPr="00AD597A">
        <w:rPr>
          <w:sz w:val="24"/>
          <w:szCs w:val="24"/>
        </w:rPr>
        <w:t>, this paper investigates the following research questions:</w:t>
      </w:r>
    </w:p>
    <w:p w14:paraId="5A8CFD9F" w14:textId="47CAF3D8" w:rsidR="000F3BED" w:rsidRPr="00AD597A" w:rsidRDefault="000F3BED" w:rsidP="000F3BED">
      <w:pPr>
        <w:numPr>
          <w:ilvl w:val="0"/>
          <w:numId w:val="10"/>
        </w:numPr>
        <w:spacing w:line="360" w:lineRule="auto"/>
        <w:rPr>
          <w:sz w:val="24"/>
          <w:szCs w:val="24"/>
        </w:rPr>
      </w:pPr>
      <w:r w:rsidRPr="00AD597A">
        <w:rPr>
          <w:sz w:val="24"/>
          <w:szCs w:val="24"/>
        </w:rPr>
        <w:t xml:space="preserve">Who is reporting loneliness in </w:t>
      </w:r>
      <w:r w:rsidR="0061241F">
        <w:rPr>
          <w:sz w:val="24"/>
          <w:szCs w:val="24"/>
        </w:rPr>
        <w:t>contemporary</w:t>
      </w:r>
      <w:r w:rsidRPr="00AD597A">
        <w:rPr>
          <w:sz w:val="24"/>
          <w:szCs w:val="24"/>
        </w:rPr>
        <w:t xml:space="preserve"> Ireland?</w:t>
      </w:r>
    </w:p>
    <w:p w14:paraId="6DEAAC2D" w14:textId="77777777" w:rsidR="000F3BED" w:rsidRPr="00AD597A" w:rsidRDefault="000F3BED" w:rsidP="000F3BED">
      <w:pPr>
        <w:numPr>
          <w:ilvl w:val="0"/>
          <w:numId w:val="10"/>
        </w:numPr>
        <w:spacing w:line="360" w:lineRule="auto"/>
        <w:rPr>
          <w:sz w:val="24"/>
          <w:szCs w:val="24"/>
        </w:rPr>
      </w:pPr>
      <w:r w:rsidRPr="00AD597A">
        <w:rPr>
          <w:sz w:val="24"/>
          <w:szCs w:val="24"/>
        </w:rPr>
        <w:t>Does this have an impact on mental health and quality of life?</w:t>
      </w:r>
    </w:p>
    <w:p w14:paraId="5C6D57B8" w14:textId="2A5DE286" w:rsidR="0066302B" w:rsidRPr="00AD597A" w:rsidRDefault="000F3BED" w:rsidP="00913BC8">
      <w:pPr>
        <w:spacing w:line="360" w:lineRule="auto"/>
        <w:rPr>
          <w:sz w:val="24"/>
          <w:szCs w:val="24"/>
        </w:rPr>
      </w:pPr>
      <w:r w:rsidRPr="00AD597A">
        <w:rPr>
          <w:sz w:val="24"/>
          <w:szCs w:val="24"/>
        </w:rPr>
        <w:t>By addressing these questions, this research aims to provide crucial evidence with significant social, economic, and policy implications. Understanding the factors contributing to loneliness and a lack of social connection is essential for developing targeted and effective interventions to mitigate the negative effects on individuals, communities, and the wider society and economy.</w:t>
      </w:r>
      <w:r w:rsidR="005F595C" w:rsidRPr="00AD597A">
        <w:rPr>
          <w:b/>
          <w:bCs/>
          <w:sz w:val="24"/>
          <w:szCs w:val="24"/>
        </w:rPr>
        <w:br w:type="page"/>
      </w:r>
    </w:p>
    <w:p w14:paraId="4C1CA8C7" w14:textId="77777777" w:rsidR="00072075" w:rsidRPr="00AD597A" w:rsidRDefault="0092054F" w:rsidP="007F1CF3">
      <w:pPr>
        <w:spacing w:line="360" w:lineRule="auto"/>
        <w:ind w:firstLine="720"/>
        <w:rPr>
          <w:b/>
          <w:bCs/>
          <w:sz w:val="24"/>
          <w:szCs w:val="24"/>
        </w:rPr>
      </w:pPr>
      <w:r w:rsidRPr="00AD597A">
        <w:rPr>
          <w:b/>
          <w:bCs/>
          <w:sz w:val="24"/>
          <w:szCs w:val="24"/>
        </w:rPr>
        <w:lastRenderedPageBreak/>
        <w:t xml:space="preserve">2.  </w:t>
      </w:r>
      <w:r w:rsidR="00072075" w:rsidRPr="00AD597A">
        <w:rPr>
          <w:b/>
          <w:bCs/>
          <w:sz w:val="24"/>
          <w:szCs w:val="24"/>
        </w:rPr>
        <w:t xml:space="preserve">Literature </w:t>
      </w:r>
    </w:p>
    <w:p w14:paraId="27CCD0D8" w14:textId="77777777" w:rsidR="003A665B" w:rsidRPr="00AD597A" w:rsidRDefault="00D255A5" w:rsidP="007F1CF3">
      <w:pPr>
        <w:spacing w:line="360" w:lineRule="auto"/>
        <w:rPr>
          <w:sz w:val="24"/>
          <w:szCs w:val="24"/>
        </w:rPr>
      </w:pPr>
      <w:r w:rsidRPr="00AD597A">
        <w:rPr>
          <w:sz w:val="24"/>
          <w:szCs w:val="24"/>
        </w:rPr>
        <w:t xml:space="preserve">To contextualise this study, this review first </w:t>
      </w:r>
      <w:r w:rsidR="003A665B" w:rsidRPr="00AD597A">
        <w:rPr>
          <w:sz w:val="24"/>
          <w:szCs w:val="24"/>
        </w:rPr>
        <w:t>provides and overview of</w:t>
      </w:r>
      <w:r w:rsidRPr="00AD597A">
        <w:rPr>
          <w:sz w:val="24"/>
          <w:szCs w:val="24"/>
        </w:rPr>
        <w:t xml:space="preserve"> the international literature on factors associated with loneliness. It then explores the documented impact of loneliness on mental health. Finally, it synthesi</w:t>
      </w:r>
      <w:r w:rsidR="003A665B" w:rsidRPr="00AD597A">
        <w:rPr>
          <w:sz w:val="24"/>
          <w:szCs w:val="24"/>
        </w:rPr>
        <w:t>s</w:t>
      </w:r>
      <w:r w:rsidRPr="00AD597A">
        <w:rPr>
          <w:sz w:val="24"/>
          <w:szCs w:val="24"/>
        </w:rPr>
        <w:t>es the available evidence on this topic within the Irish context.</w:t>
      </w:r>
    </w:p>
    <w:p w14:paraId="6423FAEA" w14:textId="03D89B5C" w:rsidR="00EE1602" w:rsidRPr="00AD597A" w:rsidRDefault="00FC3BD9" w:rsidP="007F1CF3">
      <w:pPr>
        <w:spacing w:line="360" w:lineRule="auto"/>
        <w:rPr>
          <w:i/>
          <w:iCs/>
          <w:sz w:val="24"/>
          <w:szCs w:val="24"/>
        </w:rPr>
      </w:pPr>
      <w:r w:rsidRPr="00AD597A">
        <w:rPr>
          <w:i/>
          <w:iCs/>
          <w:sz w:val="24"/>
          <w:szCs w:val="24"/>
        </w:rPr>
        <w:t>2.1</w:t>
      </w:r>
      <w:r w:rsidR="004C7DE2" w:rsidRPr="00AD597A">
        <w:rPr>
          <w:i/>
          <w:iCs/>
          <w:sz w:val="24"/>
          <w:szCs w:val="24"/>
        </w:rPr>
        <w:t>.</w:t>
      </w:r>
      <w:r w:rsidRPr="00AD597A">
        <w:rPr>
          <w:i/>
          <w:iCs/>
          <w:sz w:val="24"/>
          <w:szCs w:val="24"/>
        </w:rPr>
        <w:t xml:space="preserve"> </w:t>
      </w:r>
      <w:r w:rsidR="000726F2" w:rsidRPr="00AD597A">
        <w:rPr>
          <w:i/>
          <w:iCs/>
          <w:sz w:val="24"/>
          <w:szCs w:val="24"/>
        </w:rPr>
        <w:t>Factors associated with loneliness</w:t>
      </w:r>
    </w:p>
    <w:p w14:paraId="6C2D300F" w14:textId="1193D598" w:rsidR="00EE1602" w:rsidRPr="00AD597A" w:rsidRDefault="00EE1602" w:rsidP="007F1CF3">
      <w:pPr>
        <w:spacing w:line="360" w:lineRule="auto"/>
        <w:rPr>
          <w:sz w:val="24"/>
          <w:szCs w:val="24"/>
        </w:rPr>
      </w:pPr>
      <w:r w:rsidRPr="00AD597A">
        <w:rPr>
          <w:sz w:val="24"/>
          <w:szCs w:val="24"/>
        </w:rPr>
        <w:t xml:space="preserve">Loneliness, a complex and pervasive experience, is influenced by a confluence of individual, social, economic, and technological factors </w:t>
      </w:r>
      <w:r w:rsidR="003278A8" w:rsidRPr="00AD597A">
        <w:rPr>
          <w:sz w:val="24"/>
          <w:szCs w:val="24"/>
        </w:rPr>
        <w:fldChar w:fldCharType="begin" w:fldLock="1"/>
      </w:r>
      <w:r w:rsidR="004648C4">
        <w:rPr>
          <w:sz w:val="24"/>
          <w:szCs w:val="24"/>
        </w:rPr>
        <w:instrText>ADDIN CSL_CITATION {"citationItems":[{"id":"ITEM-1","itemData":{"DOI":"10.1016/j.jad.2020.03.075","ISBN":"0039041956","ISSN":"15732517","PMID":"32479308","abstract":"Background: Evidence provides inconsistent findings on risk factors and health outcomes associated with loneliness. The aim of this work was to grade the evidence on risk factors and health outcomes associated with loneliness, using an umbrella review approach. Methods: For each meta-analytic association, random-effects summary effect size, 95% confidence intervals (CIs), heterogeneity, evidence for small-study effect, excess significance bias and 95% prediction intervals were calculated, and used to grade significant evidence (p&lt;0.05) from convincing to weak. For narrative systematic reviews, findings were reported descriptively. Results: From 210 studies initially evaluated, 14 publications were included, reporting on 18 outcomes, 795 studies, and 746,706 participants. Highly suggestive evidence (class II) supported the association between loneliness and incident dementia (relative risk, RR=1.26; 95%CI: 1.14-1.40, I2 23.6%), prevalent paranoia (odds ratio, OR=3.36; 95%CI: 2.51-4.49, I2 92.8%) and prevalent psychotic symptoms (OR=2.33; 95%CI: 1.68-3.22, I2 56.5%). Pooled data supported the longitudinal association between loneliness and suicide attempts and depressive symptoms. In narrative systematic reviews, factors cross-sectionally associated with loneliness were age (in a U-shape way), female sex, quality of social contacts, low competence, socio-economic status and medical chronic conditions. Limitations: Low quality of the studies included; mainly cross-sectional evidence. Conclusions: This work is the first meta-evidence synthesis showing that highly suggestive and significant evidence supports the association between loneliness and adverse mental and physical health outcomes. More cohort studies are needed to disentangle the direction of the association between risk factors for loneliness and its related health outcomes.","author":[{"dropping-particle":"","family":"Solmi","given":"Marco","non-dropping-particle":"","parse-names":false,"suffix":""},{"dropping-particle":"","family":"Veronese","given":"Nicola","non-dropping-particle":"","parse-names":false,"suffix":""},{"dropping-particle":"","family":"Galvano","given":"Daiana","non-dropping-particle":"","parse-names":false,"suffix":""},{"dropping-particle":"","family":"Favaro","given":"Angela","non-dropping-particle":"","parse-names":false,"suffix":""},{"dropping-particle":"","family":"Ostinelli","given":"Edoardo G.","non-dropping-particle":"","parse-names":false,"suffix":""},{"dropping-particle":"","family":"Noventa","given":"Vania","non-dropping-particle":"","parse-names":false,"suffix":""},{"dropping-particle":"","family":"Favaretto","given":"Elisa","non-dropping-particle":"","parse-names":false,"suffix":""},{"dropping-particle":"","family":"Tudor","given":"Florina","non-dropping-particle":"","parse-names":false,"suffix":""},{"dropping-particle":"","family":"Finessi","given":"Matilde","non-dropping-particle":"","parse-names":false,"suffix":""},{"dropping-particle":"Il","family":"Shin","given":"Jae","non-dropping-particle":"","parse-names":false,"suffix":""},{"dropping-particle":"","family":"Smith","given":"Lee","non-dropping-particle":"","parse-names":false,"suffix":""},{"dropping-particle":"","family":"Koyanagi","given":"Ai","non-dropping-particle":"","parse-names":false,"suffix":""},{"dropping-particle":"","family":"Cester","given":"Alberto","non-dropping-particle":"","parse-names":false,"suffix":""},{"dropping-particle":"","family":"Bolzetta","given":"Francesco","non-dropping-particle":"","parse-names":false,"suffix":""},{"dropping-particle":"","family":"Cotroneo","given":"Antonino","non-dropping-particle":"","parse-names":false,"suffix":""},{"dropping-particle":"","family":"Maggi","given":"Stefania","non-dropping-particle":"","parse-names":false,"suffix":""},{"dropping-particle":"","family":"Demurtas","given":"Jacopo","non-dropping-particle":"","parse-names":false,"suffix":""},{"dropping-particle":"","family":"Leo","given":"Diego","non-dropping-particle":"De","parse-names":false,"suffix":""},{"dropping-particle":"","family":"Trabucchi","given":"Marco","non-dropping-particle":"","parse-names":false,"suffix":""}],"container-title":"Journal of Affective Disorders","id":"ITEM-1","issue":"December 2019","issued":{"date-parts":[["2020"]]},"page":"131-138","publisher":"Elsevier B.V.","title":"Factors Associated With Loneliness: An Umbrella Review Of Observational Studies","type":"article-journal","volume":"271"},"uris":["http://www.mendeley.com/documents/?uuid=edf4c18a-04fd-4a2c-824d-c51e592d1c5c"]},{"id":"ITEM-2","itemData":{"abstract":"A widely held stereotype associates old age with social isolation and loneliness. However, only 5% to 15% percent of older adults report frequent loneliness. In this study, we report a meta-analysis of the correlates of loneliness in late adulthood. A U-shaped association between age and loneliness is identified. Quality of social network is correlated more strongly with loneliness , compared to quantity; contacts with friends and neighbors show stronger associations with loneliness, compared to contacts with family members. Being a woman, having low socioeconomic status and low competence, and living in nursing homes were also associated with higher loneliness. Age differences in the association of social contacts and competence with loneliness are investigated as well.","author":[{"dropping-particle":"","family":"Pinquart","given":"Martin","non-dropping-particle":"","parse-names":false,"suffix":""},{"dropping-particle":"","family":"Sörensen","given":"Silvia","non-dropping-particle":"","parse-names":false,"suffix":""}],"container-title":"Basic and Applied Social Psychology","id":"ITEM-2","issue":"4","issued":{"date-parts":[["2001"]]},"page":"245-266","title":"Influences on Loneliness in Older Adults: A Meta-Analysis","type":"article-journal","volume":"23"},"uris":["http://www.mendeley.com/documents/?uuid=8696c8df-c29c-4b52-a64f-86929f316cb1"]},{"id":"ITEM-3","itemData":{"author":[{"dropping-particle":"","family":"Mahon","given":"N.E.","non-dropping-particle":"","parse-names":false,"suffix":""},{"dropping-particle":"","family":"Yarcheski","given":"A.","non-dropping-particle":"","parse-names":false,"suffix":""},{"dropping-particle":"","family":"Yarcheski","given":"T.J.","non-dropping-particle":"","parse-names":false,"suffix":""},{"dropping-particle":"","family":"Cannella","given":"B.L.","non-dropping-particle":"","parse-names":false,"suffix":""},{"dropping-particle":"","family":"Hanks","given":"M.M.","non-dropping-particle":"","parse-names":false,"suffix":""}],"container-title":"Nursing Research","id":"ITEM-3","issue":"5","issued":{"date-parts":[["2006"]]},"page":"308-315","title":"A meta-analytic study of predictors for loneliness during adolescence","type":"article-journal","volume":"55"},"uris":["http://www.mendeley.com/documents/?uuid=02b6ae58-d4d0-4624-8143-f5ec3edf8c1f"]},{"id":"ITEM-4","itemData":{"DOI":"10.1017/S1041610215001532","ISBN":"1041610215001","ISSN":"1741203X","PMID":"26424033","abstract":"Older persons are particularly vulnerable to loneliness because of common age-related changes and losses. This paper reviews predictors of loneliness in the older population as described in the current literature and a small qualitative study. Methods: Peer-reviewed journal articles were identified from psycINFO, MEDLINE, and Google Scholar from 2000-2012. Overall, 38 articles were reviewed. Two focus groups were conducted asking older participants about the causes of loneliness. Results: Variables significantly associated with loneliness in older adults were: female gender, non-married status, older age, poor income, lower educational level, living alone, low quality of social relationships, poor self-reported health, and poor functional status. Psychological attributes associated with loneliness included poor mental health, low self-efficacy beliefs, negative life events, and cognitive deficits. These associations were mainly studied in cross-sectional studies. In the focus groups, participants mentioned environmental barriers, unsafe neighborhoods, migration patterns, inaccessible housing, and inadequate resources for socializing. Other issues raised in the focus groups were the relationship between loneliness and boredom and inactivity, the role of recent losses of family and friends, as well as mental health issues, such as shame and fear. Conclusions: Future quantitative studies are needed to examine the impact of physical and social environments on loneliness in this population. It is important to better map the multiple factors and ways by which they impact loneliness to develop better solutions for public policy, city, and environmental planning, and individually based interventions. This effort should be viewed as a public health priority.","author":[{"dropping-particle":"","family":"Cohen-Mansfield","given":"Jiska","non-dropping-particle":"","parse-names":false,"suffix":""},{"dropping-particle":"","family":"Hazan","given":"Haim","non-dropping-particle":"","parse-names":false,"suffix":""},{"dropping-particle":"","family":"Lerman","given":"Yaffa","non-dropping-particle":"","parse-names":false,"suffix":""},{"dropping-particle":"","family":"Shalom","given":"Vera","non-dropping-particle":"","parse-names":false,"suffix":""}],"container-title":"International Psychogeriatrics","id":"ITEM-4","issue":"4","issued":{"date-parts":[["2016"]]},"page":"557-576","title":"Correlates and predictors of loneliness in older-adults: A review of quantitative results informed by qualitative insights","type":"article-journal","volume":"28"},"uris":["http://www.mendeley.com/documents/?uuid=e2f97a45-c9dd-4d5c-b638-61a822774477"]},{"id":"ITEM-5","itemData":{"DOI":"10.1016/j.socscimed.2023.116163","ISSN":"18735347","PMID":"37625251","abstract":"Rationale: Increasingly, loneliness is being recognised as a serious problem with detrimental effects on health, as well as on social cohesion and community trust. To effectively tackle this complex issue, a clear understanding of the phenomenon and its main drivers is needed. Over years of scientific research on loneliness, many potential risk factors have emerged and been tested empirically. Objective: This narrative review of 109 studies provides a concise summary of empirical evidence on the main potential risk factors for loneliness and presents an additional section dedicated to the COVID-19 pandemic. Method: Given the very large number of existing studies, emphasis is placed on recent meta-analyses and systematic literature reviews as well as longitudinal studies. Similarly, given the large number of possible risk factors for loneliness, which may differ based on the geographical and cultural context, this review focuses on studies from Europe and North America. Results: The results show that demographic factors often correlate with loneliness, but in many cases the link becomes negligible when controlling for other factors. Often, physical and mental health problems are found to be associated with loneliness, and so are some psychological factors, such as neuroticism or extroversion. Loneliness also depends on the environment in which one lives, and possibly the broader socio-economic and socio-cultural contexts. Nevertheless, the review shows that ultimately everything comes down to the quantity and quality of social relationships. In particular, marital status, living arrangements and the characteristics of one's personal social network are quite consistently found to be among the strongest predictors of loneliness. These main findings about the risk factors for loneliness remained valid also during the COVID-19 pandemic. Policy implications: The findings of this review have implications for policy, as understanding who the most vulnerable groups are is key for designing targeted policy solutions that tackle loneliness.","author":[{"dropping-particle":"","family":"Barjaková","given":"Martina","non-dropping-particle":"","parse-names":false,"suffix":""},{"dropping-particle":"","family":"Garnero","given":"Andrea","non-dropping-particle":"","parse-names":false,"suffix":""},{"dropping-particle":"","family":"d'Hombres","given":"Béatrice","non-dropping-particle":"","parse-names":false,"suffix":""}],"container-title":"Social Science and Medicine","id":"ITEM-5","issue":"August","issued":{"date-parts":[["2023"]]},"title":"Risk factors for loneliness: A literature review","type":"article-journal","volume":"334"},"uris":["http://www.mendeley.com/documents/?uuid=55204e25-3eaf-4b5e-95cb-a063f0c9b5be"]}],"mendeley":{"formattedCitation":"(Barjaková et al., 2023; Cohen-Mansfield et al., 2016; Mahon et al., 2006; Pinquart and Sörensen, 2001; Solmi et al., 2020)","plainTextFormattedCitation":"(Barjaková et al., 2023; Cohen-Mansfield et al., 2016; Mahon et al., 2006; Pinquart and Sörensen, 2001; Solmi et al., 2020)","previouslyFormattedCitation":"(Barjaková et al., 2023; Cohen-Mansfield et al., 2016; Mahon et al., 2006; Pinquart and Sörensen, 2001; Solmi et al., 2020)"},"properties":{"noteIndex":0},"schema":"https://github.com/citation-style-language/schema/raw/master/csl-citation.json"}</w:instrText>
      </w:r>
      <w:r w:rsidR="003278A8" w:rsidRPr="00AD597A">
        <w:rPr>
          <w:sz w:val="24"/>
          <w:szCs w:val="24"/>
        </w:rPr>
        <w:fldChar w:fldCharType="separate"/>
      </w:r>
      <w:r w:rsidR="000443B6" w:rsidRPr="00A066FF">
        <w:rPr>
          <w:noProof/>
          <w:sz w:val="24"/>
          <w:szCs w:val="24"/>
        </w:rPr>
        <w:t>(Barjaková et al., 2023; Cohen-Mansfield et al., 2016; Mahon et al., 2006; Pinquart and Sörensen, 2001; Solmi et al., 2020)</w:t>
      </w:r>
      <w:r w:rsidR="003278A8" w:rsidRPr="00AD597A">
        <w:rPr>
          <w:sz w:val="24"/>
          <w:szCs w:val="24"/>
        </w:rPr>
        <w:fldChar w:fldCharType="end"/>
      </w:r>
      <w:r w:rsidR="003278A8" w:rsidRPr="00AD597A">
        <w:rPr>
          <w:sz w:val="24"/>
          <w:szCs w:val="24"/>
        </w:rPr>
        <w:t>.</w:t>
      </w:r>
      <w:r w:rsidR="00FB3EFD" w:rsidRPr="00AD597A">
        <w:rPr>
          <w:sz w:val="24"/>
          <w:szCs w:val="24"/>
        </w:rPr>
        <w:t xml:space="preserve"> </w:t>
      </w:r>
      <w:r w:rsidR="004E29AB" w:rsidRPr="00AD597A">
        <w:rPr>
          <w:sz w:val="24"/>
          <w:szCs w:val="24"/>
        </w:rPr>
        <w:t>S</w:t>
      </w:r>
      <w:r w:rsidRPr="00AD597A">
        <w:rPr>
          <w:sz w:val="24"/>
          <w:szCs w:val="24"/>
        </w:rPr>
        <w:t>tudies have identified several correlates of loneliness, including age (following a U-shaped pattern)</w:t>
      </w:r>
      <w:r w:rsidR="006A5D11" w:rsidRPr="00AD597A">
        <w:rPr>
          <w:sz w:val="24"/>
          <w:szCs w:val="24"/>
        </w:rPr>
        <w:fldChar w:fldCharType="begin" w:fldLock="1"/>
      </w:r>
      <w:r w:rsidR="004648C4">
        <w:rPr>
          <w:sz w:val="24"/>
          <w:szCs w:val="24"/>
        </w:rPr>
        <w:instrText>ADDIN CSL_CITATION {"citationItems":[{"id":"ITEM-1","itemData":{"DOI":"10.1177/09567976241242037","ISSN":"14679280","PMID":"38687352","abstract":"Loneliness is a pervasive experience with adverse impacts on health and well-being. Despite its significance, notable gaps impede a full understanding of how loneliness changes across the adult life span and what factors influence these changes. To address this, we conducted a coordinated data analysis of nine longitudinal studies encompassing 128,118 participants ages 13 to 103 from over 20 countries. Using harmonized variables and models, we examined loneliness trajectories and predictors. Analyses revealed that loneliness follows a U-shaped curve, decreasing from young adulthood to midlife and increasing in older adulthood. These patterns were consistent across studies. Several baseline factors (i.e., sex, marital status, physical function, education) were linked to loneliness levels, but few moderated the loneliness trajectories. These findings highlight the dynamic nature of loneliness and underscore the need for targeted interventions to reduce social disparities throughout adulthood.","author":[{"dropping-particle":"","family":"Graham","given":"Eileen K.","non-dropping-particle":"","parse-names":false,"suffix":""},{"dropping-particle":"","family":"Beck","given":"Emorie D.","non-dropping-particle":"","parse-names":false,"suffix":""},{"dropping-particle":"","family":"Jackson","given":"Kathryn","non-dropping-particle":"","parse-names":false,"suffix":""},{"dropping-particle":"","family":"Yoneda","given":"Tomiko","non-dropping-particle":"","parse-names":false,"suffix":""},{"dropping-particle":"","family":"McGhee","given":"Chloe","non-dropping-particle":"","parse-names":false,"suffix":""},{"dropping-particle":"","family":"Pieramici","given":"Lily","non-dropping-particle":"","parse-names":false,"suffix":""},{"dropping-particle":"","family":"Atherton","given":"Olivia E.","non-dropping-particle":"","parse-names":false,"suffix":""},{"dropping-particle":"","family":"Luo","given":"Jing","non-dropping-particle":"","parse-names":false,"suffix":""},{"dropping-particle":"","family":"Willroth","given":"Emily C.","non-dropping-particle":"","parse-names":false,"suffix":""},{"dropping-particle":"","family":"Steptoe","given":"Andrew","non-dropping-particle":"","parse-names":false,"suffix":""},{"dropping-particle":"","family":"Mroczek","given":"Daniel K.","non-dropping-particle":"","parse-names":false,"suffix":""},{"dropping-particle":"","family":"Ong","given":"Anthony D.","non-dropping-particle":"","parse-names":false,"suffix":""}],"container-title":"Psychological Science","id":"ITEM-1","issue":"6","issued":{"date-parts":[["2024"]]},"page":"579-596","title":"Do We Become More Lonely With Age? A Coordinated Data Analysis of Nine Longitudinal Studies","type":"article-journal","volume":"35"},"uris":["http://www.mendeley.com/documents/?uuid=2fc93d8c-6446-45a9-8306-513535777e48"]},{"id":"ITEM-2","itemData":{"DOI":"10.1016/j.jad.2020.03.075","ISBN":"0039041956","ISSN":"15732517","PMID":"32479308","abstract":"Background: Evidence provides inconsistent findings on risk factors and health outcomes associated with loneliness. The aim of this work was to grade the evidence on risk factors and health outcomes associated with loneliness, using an umbrella review approach. Methods: For each meta-analytic association, random-effects summary effect size, 95% confidence intervals (CIs), heterogeneity, evidence for small-study effect, excess significance bias and 95% prediction intervals were calculated, and used to grade significant evidence (p&lt;0.05) from convincing to weak. For narrative systematic reviews, findings were reported descriptively. Results: From 210 studies initially evaluated, 14 publications were included, reporting on 18 outcomes, 795 studies, and 746,706 participants. Highly suggestive evidence (class II) supported the association between loneliness and incident dementia (relative risk, RR=1.26; 95%CI: 1.14-1.40, I2 23.6%), prevalent paranoia (odds ratio, OR=3.36; 95%CI: 2.51-4.49, I2 92.8%) and prevalent psychotic symptoms (OR=2.33; 95%CI: 1.68-3.22, I2 56.5%). Pooled data supported the longitudinal association between loneliness and suicide attempts and depressive symptoms. In narrative systematic reviews, factors cross-sectionally associated with loneliness were age (in a U-shape way), female sex, quality of social contacts, low competence, socio-economic status and medical chronic conditions. Limitations: Low quality of the studies included; mainly cross-sectional evidence. Conclusions: This work is the first meta-evidence synthesis showing that highly suggestive and significant evidence supports the association between loneliness and adverse mental and physical health outcomes. More cohort studies are needed to disentangle the direction of the association between risk factors for loneliness and its related health outcomes.","author":[{"dropping-particle":"","family":"Solmi","given":"Marco","non-dropping-particle":"","parse-names":false,"suffix":""},{"dropping-particle":"","family":"Veronese","given":"Nicola","non-dropping-particle":"","parse-names":false,"suffix":""},{"dropping-particle":"","family":"Galvano","given":"Daiana","non-dropping-particle":"","parse-names":false,"suffix":""},{"dropping-particle":"","family":"Favaro","given":"Angela","non-dropping-particle":"","parse-names":false,"suffix":""},{"dropping-particle":"","family":"Ostinelli","given":"Edoardo G.","non-dropping-particle":"","parse-names":false,"suffix":""},{"dropping-particle":"","family":"Noventa","given":"Vania","non-dropping-particle":"","parse-names":false,"suffix":""},{"dropping-particle":"","family":"Favaretto","given":"Elisa","non-dropping-particle":"","parse-names":false,"suffix":""},{"dropping-particle":"","family":"Tudor","given":"Florina","non-dropping-particle":"","parse-names":false,"suffix":""},{"dropping-particle":"","family":"Finessi","given":"Matilde","non-dropping-particle":"","parse-names":false,"suffix":""},{"dropping-particle":"Il","family":"Shin","given":"Jae","non-dropping-particle":"","parse-names":false,"suffix":""},{"dropping-particle":"","family":"Smith","given":"Lee","non-dropping-particle":"","parse-names":false,"suffix":""},{"dropping-particle":"","family":"Koyanagi","given":"Ai","non-dropping-particle":"","parse-names":false,"suffix":""},{"dropping-particle":"","family":"Cester","given":"Alberto","non-dropping-particle":"","parse-names":false,"suffix":""},{"dropping-particle":"","family":"Bolzetta","given":"Francesco","non-dropping-particle":"","parse-names":false,"suffix":""},{"dropping-particle":"","family":"Cotroneo","given":"Antonino","non-dropping-particle":"","parse-names":false,"suffix":""},{"dropping-particle":"","family":"Maggi","given":"Stefania","non-dropping-particle":"","parse-names":false,"suffix":""},{"dropping-particle":"","family":"Demurtas","given":"Jacopo","non-dropping-particle":"","parse-names":false,"suffix":""},{"dropping-particle":"","family":"Leo","given":"Diego","non-dropping-particle":"De","parse-names":false,"suffix":""},{"dropping-particle":"","family":"Trabucchi","given":"Marco","non-dropping-particle":"","parse-names":false,"suffix":""}],"container-title":"Journal of Affective Disorders","id":"ITEM-2","issue":"December 2019","issued":{"date-parts":[["2020"]]},"page":"131-138","publisher":"Elsevier B.V.","title":"Factors Associated With Loneliness: An Umbrella Review Of Observational Studies","type":"article-journal","volume":"271"},"uris":["http://www.mendeley.com/documents/?uuid=edf4c18a-04fd-4a2c-824d-c51e592d1c5c"]}],"mendeley":{"formattedCitation":"(Graham et al., 2024; Solmi et al., 2020)","plainTextFormattedCitation":"(Graham et al., 2024; Solmi et al., 2020)","previouslyFormattedCitation":"(Graham et al., 2024; Solmi et al., 2020)"},"properties":{"noteIndex":0},"schema":"https://github.com/citation-style-language/schema/raw/master/csl-citation.json"}</w:instrText>
      </w:r>
      <w:r w:rsidR="006A5D11" w:rsidRPr="00AD597A">
        <w:rPr>
          <w:sz w:val="24"/>
          <w:szCs w:val="24"/>
        </w:rPr>
        <w:fldChar w:fldCharType="separate"/>
      </w:r>
      <w:r w:rsidR="000443B6" w:rsidRPr="00A066FF">
        <w:rPr>
          <w:noProof/>
          <w:sz w:val="24"/>
          <w:szCs w:val="24"/>
        </w:rPr>
        <w:t>(Graham et al., 2024; Solmi et al., 2020)</w:t>
      </w:r>
      <w:r w:rsidR="006A5D11" w:rsidRPr="00AD597A">
        <w:rPr>
          <w:sz w:val="24"/>
          <w:szCs w:val="24"/>
        </w:rPr>
        <w:fldChar w:fldCharType="end"/>
      </w:r>
      <w:r w:rsidRPr="00AD597A">
        <w:rPr>
          <w:sz w:val="24"/>
          <w:szCs w:val="24"/>
        </w:rPr>
        <w:t>, female sex</w:t>
      </w:r>
      <w:r w:rsidR="00C422F3" w:rsidRPr="00AD597A">
        <w:rPr>
          <w:sz w:val="24"/>
          <w:szCs w:val="24"/>
        </w:rPr>
        <w:t xml:space="preserve"> </w:t>
      </w:r>
      <w:r w:rsidR="00C422F3" w:rsidRPr="00AD597A">
        <w:rPr>
          <w:sz w:val="24"/>
          <w:szCs w:val="24"/>
        </w:rPr>
        <w:fldChar w:fldCharType="begin" w:fldLock="1"/>
      </w:r>
      <w:r w:rsidR="004648C4">
        <w:rPr>
          <w:sz w:val="24"/>
          <w:szCs w:val="24"/>
        </w:rPr>
        <w:instrText>ADDIN CSL_CITATION {"citationItems":[{"id":"ITEM-1","itemData":{"DOI":"10.1016/j.psychres.2020.113648","ISSN":"18727123","PMID":"33348199","abstract":"This study sought to examine if mental health issues, namely depression and anxiety symptoms, and loneliness were experienced differently according to various demographic groups during the COVID-19 pandemic (i.e., a societal stressor). An online survey, comprising demographic questions and questionnaires on depression, anxiety and loneliness symptoms, was distributed in Canada during the height of social distancing restrictions during the COVID-19 pandemic. Respondents (N=661) from lower income households experienced greater anxiety, depression and loneliness. Specifically, loneliness was greater in those with an annual income &lt;$50,000/yr versus higher income brackets. Younger females (18-29yr) displayed greater anxiety, depressive symptoms and loneliness than their male counterparts; this difference did not exist among the other age groups (30-64yr, &gt;65yr). Moreover, loneliness scores increased with increasing depression and anxiety symptom severity category. The relationship between loneliness and depression symptoms was moderated by gender, such that females experienced higher depressive symptoms when encountering greater loneliness. These data identify younger females, individuals with lower income, and those living alone as experiencing greater loneliness and mental health challenges during the height of the pandemic in Canada. We highlight the strong relationship between loneliness, depression and anxiety, and emphasize increased vulnerability among certain cohorts.","author":[{"dropping-particle":"","family":"McQuaid","given":"Robyn J.","non-dropping-particle":"","parse-names":false,"suffix":""},{"dropping-particle":"","family":"Cox","given":"Sylvia M.L.","non-dropping-particle":"","parse-names":false,"suffix":""},{"dropping-particle":"","family":"Ogunlana","given":"Ayotola","non-dropping-particle":"","parse-names":false,"suffix":""},{"dropping-particle":"","family":"Jaworska","given":"Natalia","non-dropping-particle":"","parse-names":false,"suffix":""}],"container-title":"Psychiatry Research","id":"ITEM-1","issued":{"date-parts":[["2021"]]},"page":"113648","publisher":"Elsevier B.V.","title":"The burden of loneliness: Implications of the social determinants of health during COVID-19","type":"article-journal","volume":"296"},"uris":["http://www.mendeley.com/documents/?uuid=477314dd-c657-4087-89ff-e93a5fd05b57"]},{"id":"ITEM-2","itemData":{"abstract":"A widely held stereotype associates old age with social isolation and loneliness. However, only 5% to 15% percent of older adults report frequent loneliness. In this study, we report a meta-analysis of the correlates of loneliness in late adulthood. A U-shaped association between age and loneliness is identified. Quality of social network is correlated more strongly with loneliness , compared to quantity; contacts with friends and neighbors show stronger associations with loneliness, compared to contacts with family members. Being a woman, having low socioeconomic status and low competence, and living in nursing homes were also associated with higher loneliness. Age differences in the association of social contacts and competence with loneliness are investigated as well.","author":[{"dropping-particle":"","family":"Pinquart","given":"Martin","non-dropping-particle":"","parse-names":false,"suffix":""},{"dropping-particle":"","family":"Sörensen","given":"Silvia","non-dropping-particle":"","parse-names":false,"suffix":""}],"container-title":"Basic and Applied Social Psychology","id":"ITEM-2","issue":"4","issued":{"date-parts":[["2001"]]},"page":"245-266","title":"Influences on Loneliness in Older Adults: A Meta-Analysis","type":"article-journal","volume":"23"},"uris":["http://www.mendeley.com/documents/?uuid=8696c8df-c29c-4b52-a64f-86929f316cb1"]}],"mendeley":{"formattedCitation":"(McQuaid et al., 2021; Pinquart and Sörensen, 2001)","plainTextFormattedCitation":"(McQuaid et al., 2021; Pinquart and Sörensen, 2001)","previouslyFormattedCitation":"(McQuaid et al., 2021; Pinquart and Sörensen, 2001)"},"properties":{"noteIndex":0},"schema":"https://github.com/citation-style-language/schema/raw/master/csl-citation.json"}</w:instrText>
      </w:r>
      <w:r w:rsidR="00C422F3" w:rsidRPr="00AD597A">
        <w:rPr>
          <w:sz w:val="24"/>
          <w:szCs w:val="24"/>
        </w:rPr>
        <w:fldChar w:fldCharType="separate"/>
      </w:r>
      <w:r w:rsidR="000443B6" w:rsidRPr="00A066FF">
        <w:rPr>
          <w:noProof/>
          <w:sz w:val="24"/>
          <w:szCs w:val="24"/>
        </w:rPr>
        <w:t>(McQuaid et al., 2021; Pinquart and Sörensen, 2001)</w:t>
      </w:r>
      <w:r w:rsidR="00C422F3" w:rsidRPr="00AD597A">
        <w:rPr>
          <w:sz w:val="24"/>
          <w:szCs w:val="24"/>
        </w:rPr>
        <w:fldChar w:fldCharType="end"/>
      </w:r>
      <w:r w:rsidRPr="00AD597A">
        <w:rPr>
          <w:sz w:val="24"/>
          <w:szCs w:val="24"/>
        </w:rPr>
        <w:t>, poor quality social contacts</w:t>
      </w:r>
      <w:r w:rsidR="00C30FFC" w:rsidRPr="00AD597A">
        <w:rPr>
          <w:sz w:val="24"/>
          <w:szCs w:val="24"/>
        </w:rPr>
        <w:t xml:space="preserve"> </w:t>
      </w:r>
      <w:r w:rsidR="00C30FFC" w:rsidRPr="00AD597A">
        <w:rPr>
          <w:sz w:val="24"/>
          <w:szCs w:val="24"/>
        </w:rPr>
        <w:fldChar w:fldCharType="begin" w:fldLock="1"/>
      </w:r>
      <w:r w:rsidR="004648C4">
        <w:rPr>
          <w:sz w:val="24"/>
          <w:szCs w:val="24"/>
        </w:rPr>
        <w:instrText>ADDIN CSL_CITATION {"citationItems":[{"id":"ITEM-1","itemData":{"DOI":"10.1080/13607863.2021.1876638","ISSN":"13646915","PMID":"33563024","abstract":"Objectives: To effectively reduce loneliness in older adults, interventions should be based on firm evidence regarding risk factors for loneliness in that population. This systematic review aimed to identify, appraise and synthesise longitudinal studies of risk factors for loneliness in older adults. Methods: Searches were performed in June 2018 in PsycINFO, Scopus, Sociology Collection and Web of Science. Inclusion criteria were: population of older adults (M = 60+ years at outcome); longitudinal design; study conducted in an OECD country; article published in English in a peer-review journal. Article relevance and quality assessments were made by at least two independent reviewers. Results: The search found 967 unique articles, of which 34 met relevance and quality criteria. The Netherlands and the United States together contributed 19 articles; 17 analysed national samples while 7 studies provided the data for 19 articles. One of two validated scales was used to measure loneliness in 24 articles, although 10 used a single item. A total of 120 unique risk factors for loneliness were examined. Risk factors with relatively consistent associations with loneliness were: not being married/partnered and partner loss; a limited social network; a low level of social activity; poor self-perceived health; and depression/depressed mood and an increase in depression. Conclusion: Despite the range of factors examined in the reviewed articles, strong evidence for a longitudinal association with loneliness was found for relatively few, while there were surprising omissions from the factors investigated. Future research should explore longitudinal risk factors for emotional and social loneliness.","author":[{"dropping-particle":"","family":"Dahlberg","given":"Lena","non-dropping-particle":"","parse-names":false,"suffix":""},{"dropping-particle":"","family":"McKee","given":"Kevin J.","non-dropping-particle":"","parse-names":false,"suffix":""},{"dropping-particle":"","family":"Frank","given":"Amanda","non-dropping-particle":"","parse-names":false,"suffix":""},{"dropping-particle":"","family":"Naseer","given":"Mahwish","non-dropping-particle":"","parse-names":false,"suffix":""}],"container-title":"Aging and Mental Health","id":"ITEM-1","issue":"2","issued":{"date-parts":[["2022"]]},"page":"225-249","publisher":"Routledge","title":"A systematic review of longitudinal risk factors for loneliness in older adults","type":"article-journal","volume":"26"},"uris":["http://www.mendeley.com/documents/?uuid=d8dc8bdd-25da-433f-bbe7-7450e610f84e"]},{"id":"ITEM-2","itemData":{"DOI":"10.1017/S1041610215001532","ISBN":"1041610215001","ISSN":"1741203X","PMID":"26424033","abstract":"Older persons are particularly vulnerable to loneliness because of common age-related changes and losses. This paper reviews predictors of loneliness in the older population as described in the current literature and a small qualitative study. Methods: Peer-reviewed journal articles were identified from psycINFO, MEDLINE, and Google Scholar from 2000-2012. Overall, 38 articles were reviewed. Two focus groups were conducted asking older participants about the causes of loneliness. Results: Variables significantly associated with loneliness in older adults were: female gender, non-married status, older age, poor income, lower educational level, living alone, low quality of social relationships, poor self-reported health, and poor functional status. Psychological attributes associated with loneliness included poor mental health, low self-efficacy beliefs, negative life events, and cognitive deficits. These associations were mainly studied in cross-sectional studies. In the focus groups, participants mentioned environmental barriers, unsafe neighborhoods, migration patterns, inaccessible housing, and inadequate resources for socializing. Other issues raised in the focus groups were the relationship between loneliness and boredom and inactivity, the role of recent losses of family and friends, as well as mental health issues, such as shame and fear. Conclusions: Future quantitative studies are needed to examine the impact of physical and social environments on loneliness in this population. It is important to better map the multiple factors and ways by which they impact loneliness to develop better solutions for public policy, city, and environmental planning, and individually based interventions. This effort should be viewed as a public health priority.","author":[{"dropping-particle":"","family":"Cohen-Mansfield","given":"Jiska","non-dropping-particle":"","parse-names":false,"suffix":""},{"dropping-particle":"","family":"Hazan","given":"Haim","non-dropping-particle":"","parse-names":false,"suffix":""},{"dropping-particle":"","family":"Lerman","given":"Yaffa","non-dropping-particle":"","parse-names":false,"suffix":""},{"dropping-particle":"","family":"Shalom","given":"Vera","non-dropping-particle":"","parse-names":false,"suffix":""}],"container-title":"International Psychogeriatrics","id":"ITEM-2","issue":"4","issued":{"date-parts":[["2016"]]},"page":"557-576","title":"Correlates and predictors of loneliness in older-adults: A review of quantitative results informed by qualitative insights","type":"article-journal","volume":"28"},"uris":["http://www.mendeley.com/documents/?uuid=e2f97a45-c9dd-4d5c-b638-61a822774477"]}],"mendeley":{"formattedCitation":"(Cohen-Mansfield et al., 2016; Dahlberg et al., 2022)","plainTextFormattedCitation":"(Cohen-Mansfield et al., 2016; Dahlberg et al., 2022)","previouslyFormattedCitation":"(Cohen-Mansfield et al., 2016; Dahlberg et al., 2022)"},"properties":{"noteIndex":0},"schema":"https://github.com/citation-style-language/schema/raw/master/csl-citation.json"}</w:instrText>
      </w:r>
      <w:r w:rsidR="00C30FFC" w:rsidRPr="00AD597A">
        <w:rPr>
          <w:sz w:val="24"/>
          <w:szCs w:val="24"/>
        </w:rPr>
        <w:fldChar w:fldCharType="separate"/>
      </w:r>
      <w:r w:rsidR="00242E11" w:rsidRPr="00A066FF">
        <w:rPr>
          <w:noProof/>
          <w:sz w:val="24"/>
          <w:szCs w:val="24"/>
        </w:rPr>
        <w:t>(Cohen-Mansfield et al., 2016; Dahlberg et al., 2022)</w:t>
      </w:r>
      <w:r w:rsidR="00C30FFC" w:rsidRPr="00AD597A">
        <w:rPr>
          <w:sz w:val="24"/>
          <w:szCs w:val="24"/>
        </w:rPr>
        <w:fldChar w:fldCharType="end"/>
      </w:r>
      <w:r w:rsidRPr="00AD597A">
        <w:rPr>
          <w:sz w:val="24"/>
          <w:szCs w:val="24"/>
        </w:rPr>
        <w:t>, lower socioeconomic status</w:t>
      </w:r>
      <w:r w:rsidR="00DB3D2C" w:rsidRPr="00AD597A">
        <w:rPr>
          <w:sz w:val="24"/>
          <w:szCs w:val="24"/>
        </w:rPr>
        <w:t xml:space="preserve"> </w:t>
      </w:r>
      <w:r w:rsidR="00DB3D2C" w:rsidRPr="00AD597A">
        <w:rPr>
          <w:sz w:val="24"/>
          <w:szCs w:val="24"/>
        </w:rPr>
        <w:fldChar w:fldCharType="begin" w:fldLock="1"/>
      </w:r>
      <w:r w:rsidR="004648C4">
        <w:rPr>
          <w:sz w:val="24"/>
          <w:szCs w:val="24"/>
        </w:rPr>
        <w:instrText>ADDIN CSL_CITATION {"citationItems":[{"id":"ITEM-1","itemData":{"DOI":"10.1016/j.psychres.2020.113648","ISSN":"18727123","PMID":"33348199","abstract":"This study sought to examine if mental health issues, namely depression and anxiety symptoms, and loneliness were experienced differently according to various demographic groups during the COVID-19 pandemic (i.e., a societal stressor). An online survey, comprising demographic questions and questionnaires on depression, anxiety and loneliness symptoms, was distributed in Canada during the height of social distancing restrictions during the COVID-19 pandemic. Respondents (N=661) from lower income households experienced greater anxiety, depression and loneliness. Specifically, loneliness was greater in those with an annual income &lt;$50,000/yr versus higher income brackets. Younger females (18-29yr) displayed greater anxiety, depressive symptoms and loneliness than their male counterparts; this difference did not exist among the other age groups (30-64yr, &gt;65yr). Moreover, loneliness scores increased with increasing depression and anxiety symptom severity category. The relationship between loneliness and depression symptoms was moderated by gender, such that females experienced higher depressive symptoms when encountering greater loneliness. These data identify younger females, individuals with lower income, and those living alone as experiencing greater loneliness and mental health challenges during the height of the pandemic in Canada. We highlight the strong relationship between loneliness, depression and anxiety, and emphasize increased vulnerability among certain cohorts.","author":[{"dropping-particle":"","family":"McQuaid","given":"Robyn J.","non-dropping-particle":"","parse-names":false,"suffix":""},{"dropping-particle":"","family":"Cox","given":"Sylvia M.L.","non-dropping-particle":"","parse-names":false,"suffix":""},{"dropping-particle":"","family":"Ogunlana","given":"Ayotola","non-dropping-particle":"","parse-names":false,"suffix":""},{"dropping-particle":"","family":"Jaworska","given":"Natalia","non-dropping-particle":"","parse-names":false,"suffix":""}],"container-title":"Psychiatry Research","id":"ITEM-1","issued":{"date-parts":[["2021"]]},"page":"113648","publisher":"Elsevier B.V.","title":"The burden of loneliness: Implications of the social determinants of health during COVID-19","type":"article-journal","volume":"296"},"uris":["http://www.mendeley.com/documents/?uuid=477314dd-c657-4087-89ff-e93a5fd05b57"]}],"mendeley":{"formattedCitation":"(McQuaid et al., 2021)","plainTextFormattedCitation":"(McQuaid et al., 2021)","previouslyFormattedCitation":"(McQuaid et al., 2021)"},"properties":{"noteIndex":0},"schema":"https://github.com/citation-style-language/schema/raw/master/csl-citation.json"}</w:instrText>
      </w:r>
      <w:r w:rsidR="00DB3D2C" w:rsidRPr="00AD597A">
        <w:rPr>
          <w:sz w:val="24"/>
          <w:szCs w:val="24"/>
        </w:rPr>
        <w:fldChar w:fldCharType="separate"/>
      </w:r>
      <w:r w:rsidR="00DB3D2C" w:rsidRPr="00A066FF">
        <w:rPr>
          <w:noProof/>
          <w:sz w:val="24"/>
          <w:szCs w:val="24"/>
        </w:rPr>
        <w:t>(McQuaid et al., 2021)</w:t>
      </w:r>
      <w:r w:rsidR="00DB3D2C" w:rsidRPr="00AD597A">
        <w:rPr>
          <w:sz w:val="24"/>
          <w:szCs w:val="24"/>
        </w:rPr>
        <w:fldChar w:fldCharType="end"/>
      </w:r>
      <w:r w:rsidRPr="00AD597A">
        <w:rPr>
          <w:sz w:val="24"/>
          <w:szCs w:val="24"/>
        </w:rPr>
        <w:t>, and chronic medical conditions</w:t>
      </w:r>
      <w:r w:rsidR="00242E11" w:rsidRPr="00AD597A">
        <w:rPr>
          <w:sz w:val="24"/>
          <w:szCs w:val="24"/>
        </w:rPr>
        <w:t xml:space="preserve"> </w:t>
      </w:r>
      <w:r w:rsidR="00242E11" w:rsidRPr="00AD597A">
        <w:rPr>
          <w:sz w:val="24"/>
          <w:szCs w:val="24"/>
        </w:rPr>
        <w:fldChar w:fldCharType="begin" w:fldLock="1"/>
      </w:r>
      <w:r w:rsidR="004648C4">
        <w:rPr>
          <w:sz w:val="24"/>
          <w:szCs w:val="24"/>
        </w:rPr>
        <w:instrText>ADDIN CSL_CITATION {"citationItems":[{"id":"ITEM-1","itemData":{"DOI":"10.1080/13607863.2021.1876638","ISSN":"13646915","PMID":"33563024","abstract":"Objectives: To effectively reduce loneliness in older adults, interventions should be based on firm evidence regarding risk factors for loneliness in that population. This systematic review aimed to identify, appraise and synthesise longitudinal studies of risk factors for loneliness in older adults. Methods: Searches were performed in June 2018 in PsycINFO, Scopus, Sociology Collection and Web of Science. Inclusion criteria were: population of older adults (M = 60+ years at outcome); longitudinal design; study conducted in an OECD country; article published in English in a peer-review journal. Article relevance and quality assessments were made by at least two independent reviewers. Results: The search found 967 unique articles, of which 34 met relevance and quality criteria. The Netherlands and the United States together contributed 19 articles; 17 analysed national samples while 7 studies provided the data for 19 articles. One of two validated scales was used to measure loneliness in 24 articles, although 10 used a single item. A total of 120 unique risk factors for loneliness were examined. Risk factors with relatively consistent associations with loneliness were: not being married/partnered and partner loss; a limited social network; a low level of social activity; poor self-perceived health; and depression/depressed mood and an increase in depression. Conclusion: Despite the range of factors examined in the reviewed articles, strong evidence for a longitudinal association with loneliness was found for relatively few, while there were surprising omissions from the factors investigated. Future research should explore longitudinal risk factors for emotional and social loneliness.","author":[{"dropping-particle":"","family":"Dahlberg","given":"Lena","non-dropping-particle":"","parse-names":false,"suffix":""},{"dropping-particle":"","family":"McKee","given":"Kevin J.","non-dropping-particle":"","parse-names":false,"suffix":""},{"dropping-particle":"","family":"Frank","given":"Amanda","non-dropping-particle":"","parse-names":false,"suffix":""},{"dropping-particle":"","family":"Naseer","given":"Mahwish","non-dropping-particle":"","parse-names":false,"suffix":""}],"container-title":"Aging and Mental Health","id":"ITEM-1","issue":"2","issued":{"date-parts":[["2022"]]},"page":"225-249","publisher":"Routledge","title":"A systematic review of longitudinal risk factors for loneliness in older adults","type":"article-journal","volume":"26"},"uris":["http://www.mendeley.com/documents/?uuid=d8dc8bdd-25da-433f-bbe7-7450e610f84e"]},{"id":"ITEM-2","itemData":{"DOI":"10.1016/j.apnu.2008.11.002","ISSN":"08839417","PMID":"19766930","abstract":"The purpose of this study was to examine sociodemographic and health-related risks for loneliness among older adults using Health and Retirement Study Data. Overall prevalence of loneliness was 19.3%. Marital status, self-report of health, number of chronic illnesses, gross motor impairment, fine motor impairment, and living alone were predictors of loneliness. Age, female gender, use of home care, and frequency of healthcare visits were not predictive. Loneliness is a prevalent problem for older adults in the United States with its own health-related risks. Future research of interventions targeting identified risks would enhance the evidence base for nursing and the problem of loneliness. © 2009 Elsevier Inc. All rights reserved.","author":[{"dropping-particle":"","family":"Theeke","given":"Laurie A.","non-dropping-particle":"","parse-names":false,"suffix":""}],"container-title":"Archives of Psychiatric Nursing","id":"ITEM-2","issue":"5","issued":{"date-parts":[["2009"]]},"page":"387-396","publisher":"Elsevier Inc.","title":"Predictors of Loneliness in U.S. Adults Over Age Sixty-Five","type":"article-journal","volume":"23"},"uris":["http://www.mendeley.com/documents/?uuid=0b4c98b9-609a-46c5-bbd2-69328073fc01"]}],"mendeley":{"formattedCitation":"(Dahlberg et al., 2022; Theeke, 2009)","plainTextFormattedCitation":"(Dahlberg et al., 2022; Theeke, 2009)","previouslyFormattedCitation":"(Dahlberg et al., 2022; Theeke, 2009)"},"properties":{"noteIndex":0},"schema":"https://github.com/citation-style-language/schema/raw/master/csl-citation.json"}</w:instrText>
      </w:r>
      <w:r w:rsidR="00242E11" w:rsidRPr="00AD597A">
        <w:rPr>
          <w:sz w:val="24"/>
          <w:szCs w:val="24"/>
        </w:rPr>
        <w:fldChar w:fldCharType="separate"/>
      </w:r>
      <w:r w:rsidR="000443B6" w:rsidRPr="00A066FF">
        <w:rPr>
          <w:noProof/>
          <w:sz w:val="24"/>
          <w:szCs w:val="24"/>
        </w:rPr>
        <w:t>(Dahlberg et al., 2022; Theeke, 2009)</w:t>
      </w:r>
      <w:r w:rsidR="00242E11" w:rsidRPr="00AD597A">
        <w:rPr>
          <w:sz w:val="24"/>
          <w:szCs w:val="24"/>
        </w:rPr>
        <w:fldChar w:fldCharType="end"/>
      </w:r>
      <w:r w:rsidRPr="00AD597A">
        <w:rPr>
          <w:sz w:val="24"/>
          <w:szCs w:val="24"/>
        </w:rPr>
        <w:t xml:space="preserve">. However, the core of the issue often lies in the quantity and quality of social relationships, with marital status, living arrangements, and personal social network characteristics consistently emerging as strong predictors </w:t>
      </w:r>
      <w:r w:rsidR="003278A8" w:rsidRPr="00AD597A">
        <w:rPr>
          <w:sz w:val="24"/>
          <w:szCs w:val="24"/>
        </w:rPr>
        <w:fldChar w:fldCharType="begin" w:fldLock="1"/>
      </w:r>
      <w:r w:rsidR="004648C4">
        <w:rPr>
          <w:sz w:val="24"/>
          <w:szCs w:val="24"/>
        </w:rPr>
        <w:instrText>ADDIN CSL_CITATION {"citationItems":[{"id":"ITEM-1","itemData":{"DOI":"10.1016/j.socscimed.2023.116163","ISSN":"18735347","PMID":"37625251","abstract":"Rationale: Increasingly, loneliness is being recognised as a serious problem with detrimental effects on health, as well as on social cohesion and community trust. To effectively tackle this complex issue, a clear understanding of the phenomenon and its main drivers is needed. Over years of scientific research on loneliness, many potential risk factors have emerged and been tested empirically. Objective: This narrative review of 109 studies provides a concise summary of empirical evidence on the main potential risk factors for loneliness and presents an additional section dedicated to the COVID-19 pandemic. Method: Given the very large number of existing studies, emphasis is placed on recent meta-analyses and systematic literature reviews as well as longitudinal studies. Similarly, given the large number of possible risk factors for loneliness, which may differ based on the geographical and cultural context, this review focuses on studies from Europe and North America. Results: The results show that demographic factors often correlate with loneliness, but in many cases the link becomes negligible when controlling for other factors. Often, physical and mental health problems are found to be associated with loneliness, and so are some psychological factors, such as neuroticism or extroversion. Loneliness also depends on the environment in which one lives, and possibly the broader socio-economic and socio-cultural contexts. Nevertheless, the review shows that ultimately everything comes down to the quantity and quality of social relationships. In particular, marital status, living arrangements and the characteristics of one's personal social network are quite consistently found to be among the strongest predictors of loneliness. These main findings about the risk factors for loneliness remained valid also during the COVID-19 pandemic. Policy implications: The findings of this review have implications for policy, as understanding who the most vulnerable groups are is key for designing targeted policy solutions that tackle loneliness.","author":[{"dropping-particle":"","family":"Barjaková","given":"Martina","non-dropping-particle":"","parse-names":false,"suffix":""},{"dropping-particle":"","family":"Garnero","given":"Andrea","non-dropping-particle":"","parse-names":false,"suffix":""},{"dropping-particle":"","family":"d'Hombres","given":"Béatrice","non-dropping-particle":"","parse-names":false,"suffix":""}],"container-title":"Social Science and Medicine","id":"ITEM-1","issue":"August","issued":{"date-parts":[["2023"]]},"title":"Risk factors for loneliness: A literature review","type":"article-journal","volume":"334"},"uris":["http://www.mendeley.com/documents/?uuid=55204e25-3eaf-4b5e-95cb-a063f0c9b5be"]},{"id":"ITEM-2","itemData":{"DOI":"10.3389/fpubh.2023.1113864","ISSN":"22962565","PMID":"37255758","abstract":"Introduction: Loneliness has significant impacts on the health of older adults. Social networks help to improve psychosocial and quality of life outcomes among older adults. A fifth of older adults live in rural communities, where geographic isolation poses challenges to health. The dynamics of social networks of older adults in rural communities has not been explored. Objective: To synthesize the literature related to loneliness and social networks of older adults in rural settings. Methods: A mixed-methods systematic review was conducted through searching six bibliographic databases to retrieve peer-reviewed literature with no time limits. We performed a methodological assessment of each study using a mixed method quality assessment tool. Findings are synthesized thematically. Results: A total of 50 studies (32 quantitative, 15 qualitative, and 3 mixed methods) were included in this review. Studies were conducted in 17 different countries, the majority from China (n = 12), the UK (n = 9), and USA (n = 9). Findings revealed that social networks of older adults consist of family, friends and neighbors and continue to be developed through participation in various physical and social activities such as walking groups and participation in religious events. Social networks offer informational, functional, psychological and social support to older adults. Through their social networks, older adults feel socially connected and cared for. Successful interventions to improve social networks and address loneliness were those developed in groups or one-on-one with the older adults. The key ingredient to the positive impact of these interventions on reducing social isolation and loneliness was the formation of a social connection and regular engagement with the older adults. However, the review did not find any explicitly reported theory or model on which these interventions are based. Conclusion: The prevalence of loneliness among older adults in rural areas needs urgent attention. Social network theory and methods can help in developing interventions to address social isolation and loneliness among older adults in rural communities.","author":[{"dropping-particle":"","family":"Hussain","given":"Basharat","non-dropping-particle":"","parse-names":false,"suffix":""},{"dropping-particle":"","family":"Mirza","given":"Mahrukh","non-dropping-particle":"","parse-names":false,"suffix":""},{"dropping-particle":"","family":"Baines","given":"Rebecca","non-dropping-particle":"","parse-names":false,"suffix":""},{"dropping-particle":"","family":"Burns","given":"Lorna","non-dropping-particle":"","parse-names":false,"suffix":""},{"dropping-particle":"","family":"Stevens","given":"Sebastian","non-dropping-particle":"","parse-names":false,"suffix":""},{"dropping-particle":"","family":"Asthana","given":"Sheena","non-dropping-particle":"","parse-names":false,"suffix":""},{"dropping-particle":"","family":"Chatterjee","given":"Arunangsu","non-dropping-particle":"","parse-names":false,"suffix":""}],"container-title":"Frontiers in Public Health","id":"ITEM-2","issued":{"date-parts":[["2023"]]},"title":"Loneliness and social networks of older adults in rural communities: a narrative synthesis systematic review","type":"article-journal","volume":"11"},"uris":["http://www.mendeley.com/documents/?uuid=5787f13d-78b8-4d3d-9933-315debb1ecc5"]}],"mendeley":{"formattedCitation":"(Barjaková et al., 2023; Hussain et al., 2023)","plainTextFormattedCitation":"(Barjaková et al., 2023; Hussain et al., 2023)","previouslyFormattedCitation":"(Barjaková et al., 2023; Hussain et al., 2023)"},"properties":{"noteIndex":0},"schema":"https://github.com/citation-style-language/schema/raw/master/csl-citation.json"}</w:instrText>
      </w:r>
      <w:r w:rsidR="003278A8" w:rsidRPr="00AD597A">
        <w:rPr>
          <w:sz w:val="24"/>
          <w:szCs w:val="24"/>
        </w:rPr>
        <w:fldChar w:fldCharType="separate"/>
      </w:r>
      <w:r w:rsidR="000443B6" w:rsidRPr="00A066FF">
        <w:rPr>
          <w:noProof/>
          <w:sz w:val="24"/>
          <w:szCs w:val="24"/>
        </w:rPr>
        <w:t>(Barjaková et al., 2023; Hussain et al., 2023)</w:t>
      </w:r>
      <w:r w:rsidR="003278A8" w:rsidRPr="00AD597A">
        <w:rPr>
          <w:sz w:val="24"/>
          <w:szCs w:val="24"/>
        </w:rPr>
        <w:fldChar w:fldCharType="end"/>
      </w:r>
      <w:r w:rsidR="003278A8" w:rsidRPr="00AD597A">
        <w:rPr>
          <w:sz w:val="24"/>
          <w:szCs w:val="24"/>
        </w:rPr>
        <w:t xml:space="preserve">. </w:t>
      </w:r>
      <w:r w:rsidR="00FE59F4" w:rsidRPr="00FE59F4">
        <w:rPr>
          <w:sz w:val="24"/>
          <w:szCs w:val="24"/>
        </w:rPr>
        <w:t xml:space="preserve">These findings align with social identity theory, which posits that loneliness arises from the loss or absence of important social group memberships and identities.  The painful emotional experience of loneliness, therefore, stems not only from the lack or loss of group-based social connections, but also from the consequent loss of access to key psychological resources </w:t>
      </w:r>
      <w:r w:rsidR="008E3164" w:rsidRPr="00AD597A">
        <w:rPr>
          <w:sz w:val="24"/>
          <w:szCs w:val="24"/>
        </w:rPr>
        <w:fldChar w:fldCharType="begin" w:fldLock="1"/>
      </w:r>
      <w:r w:rsidR="004648C4">
        <w:rPr>
          <w:sz w:val="24"/>
          <w:szCs w:val="24"/>
        </w:rPr>
        <w:instrText>ADDIN CSL_CITATION {"citationItems":[{"id":"ITEM-1","itemData":{"DOI":"10.1111/bjc.12358","ISSN":"20448260","PMID":"35141908","abstract":"Objective: Emotion regulation and social identity theorizing provide two influential perspectives on loneliness. From an emotion regulation perspective, loneliness is understood as a negative emotional state that can be managed using emotion regulation strategies. A social identity perspective views loneliness as resulting from a loss or lack of important social groups and related identities. This study aimed to explore the relationships between key constructs drawn from both perspectives, with a view to understanding loneliness in adults with and without a history of mental illness. Design and Methods: Participants (N = 875) with a mental illness history (MH Hx, n = 217; Mage = 45 years, 59% female) and without a mental illness history (No MH Hx, n = 658; Mage = 47 years, 48% female) completed a survey comprising measures of group membership and connectedness, emotion regulation strategies, and loneliness. Results: The MH Hx group reported higher internal affect worsening strategy use and loneliness than those No MH Hx. Hierarchical regressions indicated that the unique contributions of emotion regulation strategies and social identity factors to loneliness were equivalent between the groups. Together, social identity and emotion regulation explained 37% of the variance in loneliness in the No MH Hx subsample and 35% in the MH Hx subsample. Conclusion: These findings suggest that both emotion regulation and social identity had significant unique contributions to the reported loneliness of people when controlling for demographics and each other in those with and without a history of mental illness. Integration of the two frameworks may provide novel avenues for the prevention and management of loneliness. Practitioner points: Individuals with a history of mental illness report more use of internal emotion worsening regulation strategies and greater loneliness than those with no such history, but there were no differences in social identity factors. Internal emotion worsening strategies and social support received from others explained the variance in reported loneliness for both those with and without a history of mental illness. Internal emotion improving strategies were significant for those with a history of mental illness, while social support given was significant for those without a history of mental illness. Screening clients for emotion regulation difficulties, social disconnectedness, and loneliness may provide clinicians with an indication of …","author":[{"dropping-particle":"","family":"Hayes","given":"Shaun","non-dropping-particle":"","parse-names":false,"suffix":""},{"dropping-particle":"","family":"Carlyle","given":"Molly","non-dropping-particle":"","parse-names":false,"suffix":""},{"dropping-particle":"","family":"Haslam","given":"S. Alexander","non-dropping-particle":"","parse-names":false,"suffix":""},{"dropping-particle":"","family":"Haslam","given":"Catherine","non-dropping-particle":"","parse-names":false,"suffix":""},{"dropping-particle":"","family":"Dingle","given":"Genevieve","non-dropping-particle":"","parse-names":false,"suffix":""}],"container-title":"British Journal of Clinical Psychology","id":"ITEM-1","issue":"3","issued":{"date-parts":[["2022"]]},"page":"701-734","title":"Exploring links between social identity, emotion regulation, and loneliness in those with and without a history of mental illness","type":"article-journal","volume":"61"},"uris":["http://www.mendeley.com/documents/?uuid=e5029b22-b552-4756-a724-0b2c063002a6"]},{"id":"ITEM-2","itemData":{"DOI":"10.1111/spc3.12490","ISSN":"17519004","abstract":"Engel presented a compelling case for a biopsychosocial model of health. This challenged a biomedical model that he saw as reductionistic, physicalistic, and exclusionist. Yet despite its laudable goals and popularity, the biopsychosocial model can be faulted for being incremental, imprecise, and individualistic. Ultimately, this means it is no less reductionist than the biomedical model which it sought to supplant. In this paper, we present a reformulation of this model that foregrounds the capacity for social groups—and the social contexts in which those groups are embedded—to structure psychology and, through this, biology and health. This sociopsychobio model argues that the three elements of Engel's framework are not fixed and immutable but rather dynamic and interdependent. The model is consistent with a range of recent approaches to health that have focused on the important role that social class, social inequality, social structure, and social networks play in shaping health outcomes. In this paper, though, the concrete value of this reformulation is illustrated through a discussion of recent research that focuses on the role of group memberships and associated social identities in shaping the psychology and biology of stress. This review underlines two key points that are central to the general case for a sociopsychobio model of health. First, that groups are a force in the world that shape the psychology and biology of their members (as well as members of other groups) in ways that cannot be reduced to those group members' functioning as individuals. Second, that groups provide their members with a basis for seeking to change the world rather than simply accepting it. In this, group life is not merely an appendage to psychology and biology but is instead a basis for collective experiences that have the potential to unleash new expressions of both.","author":[{"dropping-particle":"","family":"Haslam","given":"S. Alexander","non-dropping-particle":"","parse-names":false,"suffix":""},{"dropping-particle":"","family":"Haslam","given":"Catherine","non-dropping-particle":"","parse-names":false,"suffix":""},{"dropping-particle":"","family":"Jetten","given":"Jolanda","non-dropping-particle":"","parse-names":false,"suffix":""},{"dropping-particle":"","family":"Cruwys","given":"Tegan","non-dropping-particle":"","parse-names":false,"suffix":""},{"dropping-particle":"","family":"Bentley","given":"Sarah","non-dropping-particle":"","parse-names":false,"suffix":""}],"container-title":"Social and Personality Psychology Compass","id":"ITEM-2","issue":"8","issued":{"date-parts":[["2019"]]},"page":"1-16","title":"Group life shapes the psychology and biology of health: The case for a sociopsychobio model","type":"article-journal","volume":"13"},"uris":["http://www.mendeley.com/documents/?uuid=fac99340-8ae3-414a-b820-dc5a798286e6"]}],"mendeley":{"formattedCitation":"(Haslam et al., 2019; Hayes et al., 2022)","plainTextFormattedCitation":"(Haslam et al., 2019; Hayes et al., 2022)","previouslyFormattedCitation":"(Haslam et al., 2019; Hayes et al., 2022)"},"properties":{"noteIndex":0},"schema":"https://github.com/citation-style-language/schema/raw/master/csl-citation.json"}</w:instrText>
      </w:r>
      <w:r w:rsidR="008E3164" w:rsidRPr="00AD597A">
        <w:rPr>
          <w:sz w:val="24"/>
          <w:szCs w:val="24"/>
        </w:rPr>
        <w:fldChar w:fldCharType="separate"/>
      </w:r>
      <w:r w:rsidR="008E3164" w:rsidRPr="00A066FF">
        <w:rPr>
          <w:noProof/>
          <w:sz w:val="24"/>
          <w:szCs w:val="24"/>
        </w:rPr>
        <w:t>(Haslam et al., 2019; Hayes et al., 2022)</w:t>
      </w:r>
      <w:r w:rsidR="008E3164" w:rsidRPr="00AD597A">
        <w:rPr>
          <w:sz w:val="24"/>
          <w:szCs w:val="24"/>
        </w:rPr>
        <w:fldChar w:fldCharType="end"/>
      </w:r>
      <w:r w:rsidR="008E3164" w:rsidRPr="00AD597A">
        <w:rPr>
          <w:sz w:val="24"/>
          <w:szCs w:val="24"/>
        </w:rPr>
        <w:t>.</w:t>
      </w:r>
    </w:p>
    <w:p w14:paraId="1C99919C" w14:textId="78F3FD5B" w:rsidR="00EE1602" w:rsidRPr="00AD597A" w:rsidRDefault="00603D90" w:rsidP="007F1CF3">
      <w:pPr>
        <w:spacing w:line="360" w:lineRule="auto"/>
        <w:rPr>
          <w:sz w:val="24"/>
          <w:szCs w:val="24"/>
        </w:rPr>
      </w:pPr>
      <w:r>
        <w:rPr>
          <w:sz w:val="24"/>
          <w:szCs w:val="24"/>
        </w:rPr>
        <w:t>Demographic and s</w:t>
      </w:r>
      <w:r w:rsidR="00EE1602" w:rsidRPr="00AD597A">
        <w:rPr>
          <w:sz w:val="24"/>
          <w:szCs w:val="24"/>
        </w:rPr>
        <w:t xml:space="preserve">ocioeconomic factors play a significant role. </w:t>
      </w:r>
      <w:r w:rsidR="003278A8" w:rsidRPr="00AD597A">
        <w:rPr>
          <w:sz w:val="24"/>
          <w:szCs w:val="24"/>
        </w:rPr>
        <w:fldChar w:fldCharType="begin" w:fldLock="1"/>
      </w:r>
      <w:r w:rsidR="004648C4">
        <w:rPr>
          <w:sz w:val="24"/>
          <w:szCs w:val="24"/>
        </w:rPr>
        <w:instrText>ADDIN CSL_CITATION {"citationItems":[{"id":"ITEM-1","itemData":{"abstract":"A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-1","issued":{"date-parts":[["2023"]]},"publisher":"European Commission","title":"Loneliness and social connectedness: insights from a new EU-wide survey","type":"book","volume":"JRC133351"},"uris":["http://www.mendeley.com/documents/?uuid=332dc588-cfef-41b3-9ee3-52cd9c2a5614"]}],"mendeley":{"formattedCitation":"(Berlingieri et al., 2023)","manualFormatting":"Berlingieri et al., (2023)","plainTextFormattedCitation":"(Berlingieri et al., 2023)","previouslyFormattedCitation":"(Berlingieri et al., 2023)"},"properties":{"noteIndex":0},"schema":"https://github.com/citation-style-language/schema/raw/master/csl-citation.json"}</w:instrText>
      </w:r>
      <w:r w:rsidR="003278A8" w:rsidRPr="00AD597A">
        <w:rPr>
          <w:sz w:val="24"/>
          <w:szCs w:val="24"/>
        </w:rPr>
        <w:fldChar w:fldCharType="separate"/>
      </w:r>
      <w:r w:rsidR="003278A8" w:rsidRPr="00AD597A">
        <w:rPr>
          <w:noProof/>
          <w:sz w:val="24"/>
          <w:szCs w:val="24"/>
        </w:rPr>
        <w:t xml:space="preserve">Berlingieri </w:t>
      </w:r>
      <w:r w:rsidR="003278A8" w:rsidRPr="00AD597A">
        <w:rPr>
          <w:i/>
          <w:noProof/>
          <w:sz w:val="24"/>
          <w:szCs w:val="24"/>
        </w:rPr>
        <w:t>et al.</w:t>
      </w:r>
      <w:r w:rsidR="003278A8" w:rsidRPr="00AD597A">
        <w:rPr>
          <w:noProof/>
          <w:sz w:val="24"/>
          <w:szCs w:val="24"/>
        </w:rPr>
        <w:t xml:space="preserve">, </w:t>
      </w:r>
      <w:r w:rsidR="002B38AB" w:rsidRPr="00AD597A">
        <w:rPr>
          <w:noProof/>
          <w:sz w:val="24"/>
          <w:szCs w:val="24"/>
        </w:rPr>
        <w:t>(</w:t>
      </w:r>
      <w:r w:rsidR="003278A8" w:rsidRPr="00AD597A">
        <w:rPr>
          <w:noProof/>
          <w:sz w:val="24"/>
          <w:szCs w:val="24"/>
        </w:rPr>
        <w:t>2023)</w:t>
      </w:r>
      <w:r w:rsidR="003278A8" w:rsidRPr="00AD597A">
        <w:rPr>
          <w:sz w:val="24"/>
          <w:szCs w:val="24"/>
        </w:rPr>
        <w:fldChar w:fldCharType="end"/>
      </w:r>
      <w:r w:rsidR="002B38AB" w:rsidRPr="00AD597A">
        <w:rPr>
          <w:sz w:val="24"/>
          <w:szCs w:val="24"/>
        </w:rPr>
        <w:t xml:space="preserve"> </w:t>
      </w:r>
      <w:r w:rsidR="00EE1602" w:rsidRPr="00AD597A">
        <w:rPr>
          <w:sz w:val="24"/>
          <w:szCs w:val="24"/>
        </w:rPr>
        <w:t>found elevated loneliness rates among younger individuals, those with low income and education, rural residents, individuals with immigrant parents, and those identifying as LGBT. Conversely, countries with higher socioeconomic indicators (income, education, employment, social participation</w:t>
      </w:r>
      <w:r w:rsidR="00000DDE">
        <w:rPr>
          <w:sz w:val="24"/>
          <w:szCs w:val="24"/>
        </w:rPr>
        <w:t xml:space="preserve"> etc</w:t>
      </w:r>
      <w:r w:rsidR="005E7C97">
        <w:rPr>
          <w:sz w:val="24"/>
          <w:szCs w:val="24"/>
        </w:rPr>
        <w:t>.</w:t>
      </w:r>
      <w:r w:rsidR="00EE1602" w:rsidRPr="00AD597A">
        <w:rPr>
          <w:sz w:val="24"/>
          <w:szCs w:val="24"/>
        </w:rPr>
        <w:t>) tend to exhibit lower loneliness levels</w:t>
      </w:r>
      <w:r w:rsidR="00E157B0" w:rsidRPr="00AD597A">
        <w:rPr>
          <w:sz w:val="24"/>
          <w:szCs w:val="24"/>
        </w:rPr>
        <w:t xml:space="preserve"> </w:t>
      </w:r>
      <w:r w:rsidR="00606333" w:rsidRPr="00AD597A">
        <w:rPr>
          <w:sz w:val="24"/>
          <w:szCs w:val="24"/>
        </w:rPr>
        <w:fldChar w:fldCharType="begin" w:fldLock="1"/>
      </w:r>
      <w:r w:rsidR="004648C4">
        <w:rPr>
          <w:sz w:val="24"/>
          <w:szCs w:val="24"/>
        </w:rPr>
        <w:instrText>ADDIN CSL_CITATION {"citationItems":[{"id":"ITEM-1","itemData":{"abstract":"A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-1","issued":{"date-parts":[["2023"]]},"publisher":"European Commission","title":"Loneliness and social connectedness: insights from a new EU-wide survey","type":"book","volume":"JRC133351"},"uris":["http://www.mendeley.com/documents/?uuid=332dc588-cfef-41b3-9ee3-52cd9c2a5614"]},{"id":"ITEM-2","itemData":{"DOI":"10.1136/bmj-2021-067068","ISBN":"0000000198509","ISSN":"17561833","PMID":"35140066","abstract":"Objectives To identify data availability, gaps, and patterns for population level prevalence of loneliness globally, to summarise prevalence estimates within World Health Organization regions when feasible through meta-analysis, and to examine temporal trends of loneliness in countries where data exist. Design Systematic review and meta-analysis. Data sources Embase, Medline, PsycINFO, and Scopus for peer reviewed literature, and Google Scholar and Open Grey for grey literature, supplemented by backward reference searching (to 1 September 2021) Eligibility criteria for selecting studies Observational studies based on nationally representative samples (n≥292), validated instruments, and prevalence data for 2000-19. Two researchers independently extracted data and assessed the risk of bias using the Joanna Briggs Institute checklist. Random effects meta-analysis was conducted in the subset of studies with relatively homogeneous research methods by measurement instrument, age group, and WHO region. Results Prevalence data were available for 113 countries or territories, according to official WHO nomenclature for regions, from 57 studies. Data were available for adolescents (12-17 years) in 77 countries or territories, young adults (18-29 years) in 30 countries, middle aged adults (30-59 years) in 32 countries, and older adults (≥60 years) in 40 countries. Data for all age groups except adolescents were lacking outside of Europe. Overall, 212 estimates for 106 countries from 24 studies were included in meta-analyses. The pooled prevalence of loneliness for adolescents ranged from 9.2% (95% confidence interval 6.8% to 12.4%) in South-East Asia to 14.4% (12.2% to 17.1%) in the Eastern Mediterranean region. For adults, meta-analysis was conducted for the European region only, and a consistent geographical pattern was shown for all adult age groups. The lowest prevalence of loneliness was consistently observed in northern European countries (2.9%, 1.8% to 4.5% for young adults; 2.7%, 2.4% to 3.0% for middle aged adults; and 5.2%, 4.2% to 6.5% for older adults) and the highest in eastern European countries (7.5%, 5.9% to 9.4% for young adults; 9.6%, 7.7% to 12.0% for middle aged adults; and 21.3%, 18.7% to 24.2% for older adults). Conclusion Problematic levels of loneliness are experienced by a substantial proportion of the population in many countries. The substantial difference in data coverage between high income countries (particularly Europe) and low and mi…","author":[{"dropping-particle":"","family":"Surkalim","given":"Daniel L.","non-dropping-particle":"","parse-names":false,"suffix":""},{"dropping-particle":"","family":"Luo","given":"Mengyun","non-dropping-particle":"","parse-names":false,"suffix":""},{"dropping-particle":"","family":"Eres","given":"Robert","non-dropping-particle":"","parse-names":false,"suffix":""},{"dropping-particle":"","family":"Gebel","given":"Klaus","non-dropping-particle":"","parse-names":false,"suffix":""},{"dropping-particle":"","family":"Buskirk","given":"Joseph","non-dropping-particle":"Van","parse-names":false,"suffix":""},{"dropping-particle":"","family":"Bauman","given":"Adrian","non-dropping-particle":"","parse-names":false,"suffix":""},{"dropping-particle":"","family":"Ding","given":"Ding","non-dropping-particle":"","parse-names":false,"suffix":""}],"container-title":"The BMJ","id":"ITEM-2","issued":{"date-parts":[["2022"]]},"page":"1-17","title":"The prevalence of loneliness across 113 countries: Systematic review and meta-analysis","type":"article-journal","volume":"376"},"uris":["http://www.mendeley.com/documents/?uuid=0b73fbd9-7027-4fef-bb78-7c2cfa583afb"]}],"mendeley":{"formattedCitation":"(Berlingieri et al., 2023; Surkalim et al., 2022)","plainTextFormattedCitation":"(Berlingieri et al., 2023; Surkalim et al., 2022)","previouslyFormattedCitation":"(Berlingieri et al., 2023; Surkalim et al., 2022)"},"properties":{"noteIndex":0},"schema":"https://github.com/citation-style-language/schema/raw/master/csl-citation.json"}</w:instrText>
      </w:r>
      <w:r w:rsidR="00606333" w:rsidRPr="00AD597A">
        <w:rPr>
          <w:sz w:val="24"/>
          <w:szCs w:val="24"/>
        </w:rPr>
        <w:fldChar w:fldCharType="separate"/>
      </w:r>
      <w:r w:rsidR="000443B6" w:rsidRPr="00A066FF">
        <w:rPr>
          <w:noProof/>
          <w:sz w:val="24"/>
          <w:szCs w:val="24"/>
        </w:rPr>
        <w:t>(Berlingieri et al., 2023; Surkalim et al., 2022)</w:t>
      </w:r>
      <w:r w:rsidR="00606333" w:rsidRPr="00AD597A">
        <w:rPr>
          <w:sz w:val="24"/>
          <w:szCs w:val="24"/>
        </w:rPr>
        <w:fldChar w:fldCharType="end"/>
      </w:r>
      <w:r w:rsidR="00606333" w:rsidRPr="00AD597A">
        <w:rPr>
          <w:sz w:val="24"/>
          <w:szCs w:val="24"/>
        </w:rPr>
        <w:t xml:space="preserve">. </w:t>
      </w:r>
      <w:r w:rsidR="00EE1602" w:rsidRPr="00AD597A">
        <w:rPr>
          <w:sz w:val="24"/>
          <w:szCs w:val="24"/>
        </w:rPr>
        <w:t xml:space="preserve">Rurality and population density can also contribute to feelings of isolation </w:t>
      </w:r>
      <w:r w:rsidR="007C361F" w:rsidRPr="00AD597A">
        <w:rPr>
          <w:sz w:val="24"/>
          <w:szCs w:val="24"/>
        </w:rPr>
        <w:fldChar w:fldCharType="begin" w:fldLock="1"/>
      </w:r>
      <w:r w:rsidR="004648C4">
        <w:rPr>
          <w:sz w:val="24"/>
          <w:szCs w:val="24"/>
        </w:rPr>
        <w:instrText>ADDIN CSL_CITATION {"citationItems":[{"id":"ITEM-1","itemData":{"abstract":"A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-1","issued":{"date-parts":[["2023"]]},"publisher":"European Commission","title":"Loneliness and social connectedness: insights from a new EU-wide survey","type":"book","volume":"JRC133351"},"uris":["http://www.mendeley.com/documents/?uuid=332dc588-cfef-41b3-9ee3-52cd9c2a5614"]},{"id":"ITEM-2","itemData":{"DOI":"10.1111/jrh.12535","ISSN":"17480361","PMID":"33180354","abstract":"Purpose: Rural residents may be at higher risk for loneliness than urban residents due to factors such as social isolation, poorer health, and socioeconomic disadvantage. To date, there have been few studies examining rural-urban differences in loneliness among adults in the United States. We examined differences in loneliness across the rural-urban continuum among adult residents living in Washington State. Methods: Stratified random sampling was used to select 2,575 adults from small rural, large rural, suburban, and urban areas who were invited to complete a survey on factors affecting health. Data were obtained from 616 adults (278 from small rural, 100 from large rural, 98 from suburban, and 140 from urban areas) from June 2018 through October 2019. Loneliness was measured using the UCLA Loneliness Scale (3rd version). Multivariable linear and logistic regressions were used to examine geographic differences in loneliness (measured continuously and dichotomously). Findings: Mean unadjusted loneliness scores were lower in suburban compared to urban areas (35.06 vs 38.57, P =.03). The prevalence of loneliness was 50.7%, 59.0%, 40.8%, and 54.3% in small rural, large rural, suburban, and urban areas, respectively. Suburban living was associated with lower odds for being lonely compared to urban living (unadjusted OR = 0.58; 95% CI = 0.34-0.98), but this association was not statistically significant in the adjusted model (OR = 0.63; 95% CI = 0.33-1.19). Conclusion: Loneliness is a prevalent health issue across the rural-urban continuum among Washington State adults.","author":[{"dropping-particle":"","family":"Abshire","given":"Demetrius A.","non-dropping-particle":"","parse-names":false,"suffix":""},{"dropping-particle":"","family":"Graves","given":"Janessa M.","non-dropping-particle":"","parse-names":false,"suffix":""},{"dropping-particle":"","family":"Amiri","given":"Solmaz","non-dropping-particle":"","parse-names":false,"suffix":""},{"dropping-particle":"","family":"Williams-Gilbert","given":"Wendy","non-dropping-particle":"","parse-names":false,"suffix":""}],"container-title":"Journal of Rural Health","id":"ITEM-2","issue":"1","issued":{"date-parts":[["2022"]]},"page":"187-193","title":"Differences in Loneliness Across the Rural-Urban Continuum Among Adults Living in Washington State","type":"article-journal","volume":"38"},"uris":["http://www.mendeley.com/documents/?uuid=f3c1ba0d-8743-4eed-927f-de6f7b71a080"]}],"mendeley":{"formattedCitation":"(Abshire et al., 2022; Berlingieri et al., 2023)","plainTextFormattedCitation":"(Abshire et al., 2022; Berlingieri et al., 2023)","previouslyFormattedCitation":"(Abshire et al., 2022; Berlingieri et al., 2023)"},"properties":{"noteIndex":0},"schema":"https://github.com/citation-style-language/schema/raw/master/csl-citation.json"}</w:instrText>
      </w:r>
      <w:r w:rsidR="007C361F" w:rsidRPr="00AD597A">
        <w:rPr>
          <w:sz w:val="24"/>
          <w:szCs w:val="24"/>
        </w:rPr>
        <w:fldChar w:fldCharType="separate"/>
      </w:r>
      <w:r w:rsidR="000443B6" w:rsidRPr="00A066FF">
        <w:rPr>
          <w:noProof/>
          <w:sz w:val="24"/>
          <w:szCs w:val="24"/>
        </w:rPr>
        <w:t>(Abshire et al., 2022; Berlingieri et al., 2023)</w:t>
      </w:r>
      <w:r w:rsidR="007C361F" w:rsidRPr="00AD597A">
        <w:rPr>
          <w:sz w:val="24"/>
          <w:szCs w:val="24"/>
        </w:rPr>
        <w:fldChar w:fldCharType="end"/>
      </w:r>
      <w:r w:rsidR="007C361F" w:rsidRPr="00AD597A">
        <w:rPr>
          <w:sz w:val="24"/>
          <w:szCs w:val="24"/>
        </w:rPr>
        <w:t>.</w:t>
      </w:r>
    </w:p>
    <w:p w14:paraId="5580A394" w14:textId="2A64E7A5" w:rsidR="00EE1602" w:rsidRPr="00AD597A" w:rsidRDefault="00E2004F" w:rsidP="007F1CF3">
      <w:pPr>
        <w:spacing w:line="360" w:lineRule="auto"/>
        <w:rPr>
          <w:sz w:val="24"/>
          <w:szCs w:val="24"/>
        </w:rPr>
      </w:pPr>
      <w:r w:rsidRPr="00E2004F">
        <w:rPr>
          <w:sz w:val="24"/>
          <w:szCs w:val="24"/>
        </w:rPr>
        <w:t xml:space="preserve">Existing research has predominantly focused on specific perceived vulnerable groups, namely older adults </w:t>
      </w:r>
      <w:r>
        <w:rPr>
          <w:sz w:val="24"/>
          <w:szCs w:val="24"/>
        </w:rPr>
        <w:fldChar w:fldCharType="begin" w:fldLock="1"/>
      </w:r>
      <w:r w:rsidR="004648C4">
        <w:rPr>
          <w:sz w:val="24"/>
          <w:szCs w:val="24"/>
        </w:rPr>
        <w:instrText>ADDIN CSL_CITATION {"citationItems":[{"id":"ITEM-1","itemData":{"DOI":"10.1017/S1041610215001532","ISBN":"1041610215001","ISSN":"1741203X","PMID":"26424033","abstract":"Older persons are particularly vulnerable to loneliness because of common age-related changes and losses. This paper reviews predictors of loneliness in the older population as described in the current literature and a small qualitative study. Methods: Peer-reviewed journal articles were identified from psycINFO, MEDLINE, and Google Scholar from 2000-2012. Overall, 38 articles were reviewed. Two focus groups were conducted asking older participants about the causes of loneliness. Results: Variables significantly associated with loneliness in older adults were: female gender, non-married status, older age, poor income, lower educational level, living alone, low quality of social relationships, poor self-reported health, and poor functional status. Psychological attributes associated with loneliness included poor mental health, low self-efficacy beliefs, negative life events, and cognitive deficits. These associations were mainly studied in cross-sectional studies. In the focus groups, participants mentioned environmental barriers, unsafe neighborhoods, migration patterns, inaccessible housing, and inadequate resources for socializing. Other issues raised in the focus groups were the relationship between loneliness and boredom and inactivity, the role of recent losses of family and friends, as well as mental health issues, such as shame and fear. Conclusions: Future quantitative studies are needed to examine the impact of physical and social environments on loneliness in this population. It is important to better map the multiple factors and ways by which they impact loneliness to develop better solutions for public policy, city, and environmental planning, and individually based interventions. This effort should be viewed as a public health priority.","author":[{"dropping-particle":"","family":"Cohen-Mansfield","given":"Jiska","non-dropping-particle":"","parse-names":false,"suffix":""},{"dropping-particle":"","family":"Hazan","given":"Haim","non-dropping-particle":"","parse-names":false,"suffix":""},{"dropping-particle":"","family":"Lerman","given":"Yaffa","non-dropping-particle":"","parse-names":false,"suffix":""},{"dropping-particle":"","family":"Shalom","given":"Vera","non-dropping-particle":"","parse-names":false,"suffix":""}],"container-title":"International Psychogeriatrics","id":"ITEM-1","issue":"4","issued":{"date-parts":[["2016"]]},"page":"557-576","title":"Correlates and predictors of loneliness in older-adults: A review of quantitative results informed by qualitative insights","type":"article-journal","volume":"28"},"uris":["http://www.mendeley.com/documents/?uuid=e2f97a45-c9dd-4d5c-b638-61a822774477"]},{"id":"ITEM-2","itemData":{"DOI":"10.1080/13607863.2021.1876638","ISSN":"13646915","PMID":"33563024","abstract":"Objectives: To effectively reduce loneliness in older adults, interventions should be based on firm evidence regarding risk factors for loneliness in that population. This systematic review aimed to identify, appraise and synthesise longitudinal studies of risk factors for loneliness in older adults. Methods: Searches were performed in June 2018 in PsycINFO, Scopus, Sociology Collection and Web of Science. Inclusion criteria were: population of older adults (M = 60+ years at outcome); longitudinal design; study conducted in an OECD country; article published in English in a peer-review journal. Article relevance and quality assessments were made by at least two independent reviewers. Results: The search found 967 unique articles, of which 34 met relevance and quality criteria. The Netherlands and the United States together contributed 19 articles; 17 analysed national samples while 7 studies provided the data for 19 articles. One of two validated scales was used to measure loneliness in 24 articles, although 10 used a single item. A total of 120 unique risk factors for loneliness were examined. Risk factors with relatively consistent associations with loneliness were: not being married/partnered and partner loss; a limited social network; a low level of social activity; poor self-perceived health; and depression/depressed mood and an increase in depression. Conclusion: Despite the range of factors examined in the reviewed articles, strong evidence for a longitudinal association with loneliness was found for relatively few, while there were surprising omissions from the factors investigated. Future research should explore longitudinal risk factors for emotional and social loneliness.","author":[{"dropping-particle":"","family":"Dahlberg","given":"Lena","non-dropping-particle":"","parse-names":false,"suffix":""},{"dropping-particle":"","family":"McKee","given":"Kevin J.","non-dropping-particle":"","parse-names":false,"suffix":""},{"dropping-particle":"","family":"Frank","given":"Amanda","non-dropping-particle":"","parse-names":false,"suffix":""},{"dropping-particle":"","family":"Naseer","given":"Mahwish","non-dropping-particle":"","parse-names":false,"suffix":""}],"container-title":"Aging and Mental Health","id":"ITEM-2","issue":"2","issued":{"date-parts":[["2022"]]},"page":"225-249","publisher":"Routledge","title":"A systematic review of longitudinal risk factors for loneliness in older adults","type":"article-journal","volume":"26"},"uris":["http://www.mendeley.com/documents/?uuid=d8dc8bdd-25da-433f-bbe7-7450e610f84e"]},{"id":"ITEM-3","itemData":{"DOI":"10.3389/fpubh.2023.1113864","ISSN":"22962565","PMID":"37255758","abstract":"Introduction: Loneliness has significant impacts on the health of older adults. Social networks help to improve psychosocial and quality of life outcomes among older adults. A fifth of older adults live in rural communities, where geographic isolation poses challenges to health. The dynamics of social networks of older adults in rural communities has not been explored. Objective: To synthesize the literature related to loneliness and social networks of older adults in rural settings. Methods: A mixed-methods systematic review was conducted through searching six bibliographic databases to retrieve peer-reviewed literature with no time limits. We performed a methodological assessment of each study using a mixed method quality assessment tool. Findings are synthesized thematically. Results: A total of 50 studies (32 quantitative, 15 qualitative, and 3 mixed methods) were included in this review. Studies were conducted in 17 different countries, the majority from China (n = 12), the UK (n = 9), and USA (n = 9). Findings revealed that social networks of older adults consist of family, friends and neighbors and continue to be developed through participation in various physical and social activities such as walking groups and participation in religious events. Social networks offer informational, functional, psychological and social support to older adults. Through their social networks, older adults feel socially connected and cared for. Successful interventions to improve social networks and address loneliness were those developed in groups or one-on-one with the older adults. The key ingredient to the positive impact of these interventions on reducing social isolation and loneliness was the formation of a social connection and regular engagement with the older adults. However, the review did not find any explicitly reported theory or model on which these interventions are based. Conclusion: The prevalence of loneliness among older adults in rural areas needs urgent attention. Social network theory and methods can help in developing interventions to address social isolation and loneliness among older adults in rural communities.","author":[{"dropping-particle":"","family":"Hussain","given":"Basharat","non-dropping-particle":"","parse-names":false,"suffix":""},{"dropping-particle":"","family":"Mirza","given":"Mahrukh","non-dropping-particle":"","parse-names":false,"suffix":""},{"dropping-particle":"","family":"Baines","given":"Rebecca","non-dropping-particle":"","parse-names":false,"suffix":""},{"dropping-particle":"","family":"Burns","given":"Lorna","non-dropping-particle":"","parse-names":false,"suffix":""},{"dropping-particle":"","family":"Stevens","given":"Sebastian","non-dropping-particle":"","parse-names":false,"suffix":""},{"dropping-particle":"","family":"Asthana","given":"Sheena","non-dropping-particle":"","parse-names":false,"suffix":""},{"dropping-particle":"","family":"Chatterjee","given":"Arunangsu","non-dropping-particle":"","parse-names":false,"suffix":""}],"container-title":"Frontiers in Public Health","id":"ITEM-3","issued":{"date-parts":[["2023"]]},"title":"Loneliness and social networks of older adults in rural communities: a narrative synthesis systematic review","type":"article-journal","volume":"11"},"uris":["http://www.mendeley.com/documents/?uuid=5787f13d-78b8-4d3d-9933-315debb1ecc5"]},{"id":"ITEM-4","itemData":{"abstract":"A widely held stereotype associates old age with social isolation and loneliness. However, only 5% to 15% percent of older adults report frequent loneliness. In this study, we report a meta-analysis of the correlates of loneliness in late adulthood. A U-shaped association between age and loneliness is identified. Quality of social network is correlated more strongly with loneliness , compared to quantity; contacts with friends and neighbors show stronger associations with loneliness, compared to contacts with family members. Being a woman, having low socioeconomic status and low competence, and living in nursing homes were also associated with higher loneliness. Age differences in the association of social contacts and competence with loneliness are investigated as well.","author":[{"dropping-particle":"","family":"Pinquart","given":"Martin","non-dropping-particle":"","parse-names":false,"suffix":""},{"dropping-particle":"","family":"Sörensen","given":"Silvia","non-dropping-particle":"","parse-names":false,"suffix":""}],"container-title":"Basic and Applied Social Psychology","id":"ITEM-4","issue":"4","issued":{"date-parts":[["2001"]]},"page":"245-266","title":"Influences on Loneliness in Older Adults: A Meta-Analysis","type":"article-journal","volume":"23"},"uris":["http://www.mendeley.com/documents/?uuid=8696c8df-c29c-4b52-a64f-86929f316cb1"]}],"mendeley":{"formattedCitation":"(Cohen-Mansfield et al., 2016; Dahlberg et al., 2022; Hussain et al., 2023; Pinquart and Sörensen, 2001)","plainTextFormattedCitation":"(Cohen-Mansfield et al., 2016; Dahlberg et al., 2022; Hussain et al., 2023; Pinquart and Sörensen, 2001)","previouslyFormattedCitation":"(Cohen-Mansfield et al., 2016; Dahlberg et al., 2022; Hussain et al., 2023; Pinquart and Sörensen, 2001)"},"properties":{"noteIndex":0},"schema":"https://github.com/citation-style-language/schema/raw/master/csl-citation.json"}</w:instrText>
      </w:r>
      <w:r>
        <w:rPr>
          <w:sz w:val="24"/>
          <w:szCs w:val="24"/>
        </w:rPr>
        <w:fldChar w:fldCharType="separate"/>
      </w:r>
      <w:r w:rsidR="000443B6" w:rsidRPr="00A066FF">
        <w:rPr>
          <w:noProof/>
          <w:sz w:val="24"/>
          <w:szCs w:val="24"/>
        </w:rPr>
        <w:t>(Cohen-Mansfield et al., 2016; Dahlberg et al., 2022; Hussain et al., 2023; Pinquart and Sörensen, 2001)</w:t>
      </w:r>
      <w:r>
        <w:rPr>
          <w:sz w:val="24"/>
          <w:szCs w:val="24"/>
        </w:rPr>
        <w:fldChar w:fldCharType="end"/>
      </w:r>
      <w:r>
        <w:rPr>
          <w:sz w:val="24"/>
          <w:szCs w:val="24"/>
        </w:rPr>
        <w:t xml:space="preserve"> </w:t>
      </w:r>
      <w:r w:rsidRPr="00E2004F">
        <w:rPr>
          <w:sz w:val="24"/>
          <w:szCs w:val="24"/>
        </w:rPr>
        <w:t xml:space="preserve">and, more recently, younger people </w:t>
      </w:r>
      <w:r>
        <w:rPr>
          <w:sz w:val="24"/>
          <w:szCs w:val="24"/>
        </w:rPr>
        <w:fldChar w:fldCharType="begin" w:fldLock="1"/>
      </w:r>
      <w:r w:rsidR="004648C4">
        <w:rPr>
          <w:sz w:val="24"/>
          <w:szCs w:val="24"/>
        </w:rPr>
        <w:instrText>ADDIN CSL_CITATION {"citationItems":[{"id":"ITEM-1","itemData":{"DOI":"10.1007/s00127-024-02722-1","ISSN":"14339285","abstract":"Purpose: Early adulthood is a period which may increase vulnerability to loneliness and mental health difficulties among young adults. Social networks play an important role in buffering against adverse mental health, but there is a lack of evidence around whether social connection interventions could play a role in preventing mental health difficulties for young adults. Methods: A systematic review and meta-analysis was conducted (PROSPERO ID: CRD42023395595). PubMed, PsycInfo, and Scopus were searched (01 January 2000–01 January 2023). Studies were eligible if they (i) were quantitative, (ii) included young adults (18–24 years) from the general population, (iii) tested a social intervention which aimed to increase the quantity or quality of social connections or reduce loneliness, (iv) had a comparison group, and (v) measured depression and loneliness/social connection as outcomes. Following study screening and selection, the data extraction and risk of bias assessments were independently conducted in duplicate. The Cochrane RoB-2 tool and ROBINS-I tool were used to assess risk of bias. Results were narratively synthesised and random effects meta-analysis with standardised mean differences was conducted. Results: Six studies were included; four in-person interventions with higher education students, one online intervention with higher education students, and one intervention for youth involved in street life. The studies were mostly rated as having some or moderate concerns with risk of bias. The interventions were associated with an overall mean reduction in depression for young adults (SMD = -0.19; 95% CI, -0.33 to -0.05; p = 0.008; 4 studies, excluding studies with serious risk of bias). All interventions had beneficial effects on a range of diverse social connection outcomes, but there was no overall statistically significant mean reduction in loneliness for young adults in pooled analyses (SMD = -0.10; 95% CI, -0.24 to 0.05; p = 0.188; 3 studies). Conclusion: Social connection interventions show some promise in improving depression and social connection outcomes in young adults but more high-quality research, across diverse settings, is needed in this area.","author":[{"dropping-particle":"","family":"Alvarez","given":"Clotilde Vazquez","non-dropping-particle":"","parse-names":false,"suffix":""},{"dropping-particle":"","family":"Mirza","given":"Luwaiza","non-dropping-particle":"","parse-names":false,"suffix":""},{"dropping-particle":"","family":"Das-Munshi","given":"Jayati","non-dropping-particle":"","parse-names":false,"suffix":""},{"dropping-particle":"","family":"Oswald","given":"Tassia Kate","non-dropping-particle":"","parse-names":false,"suffix":""}],"container-title":"Social Psychiatry and Psychiatric Epidemiology","id":"ITEM-1","issued":{"date-parts":[["2024"]]},"title":"Social connection interventions and depression in young adults: a systematic review and meta-analysis","type":"article-journal"},"uris":["http://www.mendeley.com/documents/?uuid=fb55b0c1-510f-403d-b77d-ad82ee005978"]},{"id":"ITEM-2","itemData":{"DOI":"10.1016/j.jadohealth.2020.08.009","ISSN":"18791972","PMID":"33099414","abstract":"Purpose: Young adults are at high risk for increases in loneliness and mental health problems during the COVID-19 pandemic. The present study examined increases in loneliness in a young adult sample, for whom increases were greater, and association with increases in depression and anxiety. Method: Data from 564 young adults (ages 22–29, 60.7% women) were collected in January 2020 (pre-pandemic) and April/May 2020 (during pandemic). Results: Loneliness increased from January to April/May and changes in loneliness were greater for females, those with higher perceived social support in January, and those with greater concerns about the pandemic's social impacts. Depression (but not anxiety) increased during this time with changes in loneliness accounting for much of the increase in depression. Conclusions: Intervention strategies with young adults need to address loneliness and feelings of reduced social support during this time, especially for those who may have had greater disruption in their social lives.","author":[{"dropping-particle":"","family":"Lee","given":"Christine M.","non-dropping-particle":"","parse-names":false,"suffix":""},{"dropping-particle":"","family":"Cadigan","given":"Jennifer M.","non-dropping-particle":"","parse-names":false,"suffix":""},{"dropping-particle":"","family":"Rhew","given":"Isaac C.","non-dropping-particle":"","parse-names":false,"suffix":""}],"container-title":"Journal of Adolescent Health","id":"ITEM-2","issue":"5","issued":{"date-parts":[["2020"]]},"page":"714-717","publisher":"Elsevier Inc.","title":"Increases in Loneliness Among Young Adults During the COVID-19 Pandemic and Association With Increases in Mental Health Problems","type":"article-journal","volume":"67"},"uris":["http://www.mendeley.com/documents/?uuid=0da38cf0-b2a3-4727-bf3c-d116d5845729"]},{"id":"ITEM-3","itemData":{"DOI":"10.1093/her/cyac010","ISSN":"14653648","PMID":"35543267","abstract":"Highly visual social media (HVSM) platforms, such as Snapchat, Instagram and TikTok, are increasingly popular among young people. It is unclear what motivates young people to engage with these specific highly visual platforms and what impact the inherent features of HVSM have on young people's mental health. Nine semi-structured focus group sessions were conducted with males and females aged 14 and 15 years (n = 47) across five secondary schools in Northern Ireland. Thematic analyses were conducted, and a conceptual model was developed to illustrate the findings. This study found that features such as likes/comments on visuals and scrolling through a feed were associated with the role of 'viewer', instigating longer-lasting feelings of jealousy, inferiority and pressure to be accepted. To combat these negative emotions, young people turn to the role of 'contributor' by using filters, selecting highlights to post to their feed and adjusting their personas, resulting in temporary feelings of higher self-esteem, greater acceptance and popularity. As users of HVSM are constantly switching between the role of viewer and contributor, the emotions they experience are also constantly switching between instant inadequacy and instant gratification. HVSM appears to trigger an unrelenting process of emotional highs and lows for its adolescent users.","author":[{"dropping-particle":"","family":"Mccrory","given":"Alanna","non-dropping-particle":"","parse-names":false,"suffix":""},{"dropping-particle":"","family":"Best","given":"Paul","non-dropping-particle":"","parse-names":false,"suffix":""},{"dropping-particle":"","family":"Maddock","given":"Alan","non-dropping-particle":"","parse-names":false,"suffix":""}],"container-title":"Health Education Research","id":"ITEM-3","issue":"3","issued":{"date-parts":[["2022"]]},"page":"167-184","title":"'It's just one big vicious circle': young people's experiences of highly visual social media and their mental health","type":"article-journal","volume":"37"},"uris":["http://www.mendeley.com/documents/?uuid=546b3f3a-07ea-4965-b4c7-7f8e6991f21a"]},{"id":"ITEM-4","itemData":{"DOI":"10.1016/S2352-4642(20)30213-3","ISSN":"23524642","author":[{"dropping-particle":"","family":"Siva","given":"Nayanah","non-dropping-particle":"","parse-names":false,"suffix":""}],"container-title":"The Lancet Child and Adolescent Health","id":"ITEM-4","issue":"8","issued":{"date-parts":[["2020"]]},"page":"567-568","publisher":"Elsevier Ltd","title":"Loneliness in children and young people in the UK","type":"article-journal","volume":"4"},"uris":["http://www.mendeley.com/documents/?uuid=923b86ac-8c21-4756-a088-13e1e1905213"]}],"mendeley":{"formattedCitation":"(Alvarez et al., 2024; Lee et al., 2020; Mccrory et al., 2022; Siva, 2020)","plainTextFormattedCitation":"(Alvarez et al., 2024; Lee et al., 2020; Mccrory et al., 2022; Siva, 2020)","previouslyFormattedCitation":"(Alvarez et al., 2024; Lee et al., 2020; Mccrory et al., 2022; Siva, 2020)"},"properties":{"noteIndex":0},"schema":"https://github.com/citation-style-language/schema/raw/master/csl-citation.json"}</w:instrText>
      </w:r>
      <w:r>
        <w:rPr>
          <w:sz w:val="24"/>
          <w:szCs w:val="24"/>
        </w:rPr>
        <w:fldChar w:fldCharType="separate"/>
      </w:r>
      <w:r w:rsidR="000443B6" w:rsidRPr="00A066FF">
        <w:rPr>
          <w:noProof/>
          <w:sz w:val="24"/>
          <w:szCs w:val="24"/>
        </w:rPr>
        <w:t>(Alvarez et al., 2024; Lee et al., 2020; Mccrory et al., 2022; Siva, 2020)</w:t>
      </w:r>
      <w:r>
        <w:rPr>
          <w:sz w:val="24"/>
          <w:szCs w:val="24"/>
        </w:rPr>
        <w:fldChar w:fldCharType="end"/>
      </w:r>
      <w:r>
        <w:rPr>
          <w:sz w:val="24"/>
          <w:szCs w:val="24"/>
        </w:rPr>
        <w:t xml:space="preserve">. </w:t>
      </w:r>
      <w:r w:rsidR="000D5453">
        <w:rPr>
          <w:sz w:val="24"/>
          <w:szCs w:val="24"/>
        </w:rPr>
        <w:t>However,</w:t>
      </w:r>
      <w:r w:rsidR="00EE1602" w:rsidRPr="00AD597A">
        <w:rPr>
          <w:sz w:val="24"/>
          <w:szCs w:val="24"/>
        </w:rPr>
        <w:t xml:space="preserve"> loneliness can affect any age group, </w:t>
      </w:r>
      <w:r w:rsidR="008C4C2E">
        <w:rPr>
          <w:sz w:val="24"/>
          <w:szCs w:val="24"/>
        </w:rPr>
        <w:t xml:space="preserve">where loneliness across the age profile of the population, including </w:t>
      </w:r>
      <w:r w:rsidR="00EE1602" w:rsidRPr="00AD597A">
        <w:rPr>
          <w:sz w:val="24"/>
          <w:szCs w:val="24"/>
        </w:rPr>
        <w:t xml:space="preserve">mid-life loneliness </w:t>
      </w:r>
      <w:r w:rsidR="008C4C2E">
        <w:rPr>
          <w:sz w:val="24"/>
          <w:szCs w:val="24"/>
        </w:rPr>
        <w:t>has been</w:t>
      </w:r>
      <w:r w:rsidR="00EE1602" w:rsidRPr="00AD597A">
        <w:rPr>
          <w:sz w:val="24"/>
          <w:szCs w:val="24"/>
        </w:rPr>
        <w:t xml:space="preserve"> </w:t>
      </w:r>
      <w:r w:rsidR="008C4C2E">
        <w:rPr>
          <w:sz w:val="24"/>
          <w:szCs w:val="24"/>
        </w:rPr>
        <w:t xml:space="preserve">identified as a </w:t>
      </w:r>
      <w:r w:rsidR="00EE1602" w:rsidRPr="00AD597A">
        <w:rPr>
          <w:sz w:val="24"/>
          <w:szCs w:val="24"/>
        </w:rPr>
        <w:t xml:space="preserve">concerning, yet often overlooked, issue </w:t>
      </w:r>
      <w:r w:rsidR="003C4047" w:rsidRPr="00AD597A">
        <w:rPr>
          <w:sz w:val="24"/>
          <w:szCs w:val="24"/>
        </w:rPr>
        <w:fldChar w:fldCharType="begin" w:fldLock="1"/>
      </w:r>
      <w:r w:rsidR="004648C4">
        <w:rPr>
          <w:sz w:val="24"/>
          <w:szCs w:val="24"/>
        </w:rPr>
        <w:instrText>ADDIN CSL_CITATION {"citationItems":[{"id":"ITEM-1","itemData":{"DOI":"10.1037/amp0001322","ISBN":"0000000348362","ISSN":"1935990X","abstract":"Loneliness is gaining attention globally as a public health issue because elevated loneliness increases one’s risk for depression, compromised immunity, chronic illness, and mortality. Our objective is to zoom into how loneliness has historically evolved through midlife and investigate whether elevations in loneliness are confined to the United States or are similarly transpiring across peer European nations. We use harmonized data on loneliness from nationally representative longitudinal panel surveys from the United States and 13 European nations to directly quantify similarities and differences in historical change of midlife loneliness trajectories. Compared with any other European nation/region, overall levels of loneliness in the United States are consistently higher by a magnitude of 0.3–0.8 SDs. Middle-aged adults in the United States, England, and Mediterranean Europe today report higher levels of loneliness than earlier born cohorts, whereas no historical changes (if not historically lower levels) were observed in Continental and Nordic Europe. Our discussion focuses on possible reasons for cross-national differences in midlife loneliness, including cultural factors, social and economic inequalities, and differences in social safety nets.","author":[{"dropping-particle":"","family":"Infurna","given":"Frank J.","non-dropping-particle":"","parse-names":false,"suffix":""},{"dropping-particle":"","family":"Dey","given":"Nutifafa E.Y.","non-dropping-particle":"","parse-names":false,"suffix":""},{"dropping-particle":"","family":"Avilés","given":"Tita Gonzalez","non-dropping-particle":"","parse-names":false,"suffix":""},{"dropping-particle":"","family":"Grimm","given":"Kevin J.","non-dropping-particle":"","parse-names":false,"suffix":""},{"dropping-particle":"","family":"Lachman","given":"Margie E.","non-dropping-particle":"","parse-names":false,"suffix":""},{"dropping-particle":"","family":"Gerstorf","given":"Denis","non-dropping-particle":"","parse-names":false,"suffix":""}],"container-title":"American Psychologist","id":"ITEM-1","issued":{"date-parts":[["2024"]]},"title":"Loneliness in Midlife: Historical Increases and Elevated Levels in the United States Compared With Europe","type":"article-journal"},"uris":["http://www.mendeley.com/documents/?uuid=1b86b015-a28b-481a-8b11-a99e574b62ed"]}],"mendeley":{"formattedCitation":"(Infurna et al., 2024)","plainTextFormattedCitation":"(Infurna et al., 2024)","previouslyFormattedCitation":"(Infurna et al., 2024)"},"properties":{"noteIndex":0},"schema":"https://github.com/citation-style-language/schema/raw/master/csl-citation.json"}</w:instrText>
      </w:r>
      <w:r w:rsidR="003C4047" w:rsidRPr="00AD597A">
        <w:rPr>
          <w:sz w:val="24"/>
          <w:szCs w:val="24"/>
        </w:rPr>
        <w:fldChar w:fldCharType="separate"/>
      </w:r>
      <w:r w:rsidR="003C4047" w:rsidRPr="00A066FF">
        <w:rPr>
          <w:noProof/>
          <w:sz w:val="24"/>
          <w:szCs w:val="24"/>
        </w:rPr>
        <w:t>(Infurna et al., 2024)</w:t>
      </w:r>
      <w:r w:rsidR="003C4047" w:rsidRPr="00AD597A">
        <w:rPr>
          <w:sz w:val="24"/>
          <w:szCs w:val="24"/>
        </w:rPr>
        <w:fldChar w:fldCharType="end"/>
      </w:r>
      <w:r w:rsidR="00FB3EFD" w:rsidRPr="00AD597A">
        <w:rPr>
          <w:sz w:val="24"/>
          <w:szCs w:val="24"/>
        </w:rPr>
        <w:t xml:space="preserve">. </w:t>
      </w:r>
      <w:r w:rsidR="00EE1602" w:rsidRPr="00AD597A">
        <w:rPr>
          <w:sz w:val="24"/>
          <w:szCs w:val="24"/>
        </w:rPr>
        <w:t xml:space="preserve">Middle-aged adults face unique stressors, navigating changing relationships with aging parents (e.g., increased caregiving responsibilities) and adult children (e.g., who may be facing employment </w:t>
      </w:r>
      <w:r w:rsidR="005E7C97">
        <w:rPr>
          <w:sz w:val="24"/>
          <w:szCs w:val="24"/>
        </w:rPr>
        <w:t xml:space="preserve">or housing </w:t>
      </w:r>
      <w:r w:rsidR="00EE1602" w:rsidRPr="00AD597A">
        <w:rPr>
          <w:sz w:val="24"/>
          <w:szCs w:val="24"/>
        </w:rPr>
        <w:t xml:space="preserve">instability) </w:t>
      </w:r>
      <w:r w:rsidR="003C4047" w:rsidRPr="00AD597A">
        <w:rPr>
          <w:sz w:val="24"/>
          <w:szCs w:val="24"/>
        </w:rPr>
        <w:fldChar w:fldCharType="begin" w:fldLock="1"/>
      </w:r>
      <w:r w:rsidR="004648C4">
        <w:rPr>
          <w:sz w:val="24"/>
          <w:szCs w:val="24"/>
        </w:rPr>
        <w:instrText>ADDIN CSL_CITATION {"citationItems":[{"id":"ITEM-1","itemData":{"DOI":"10.1093/geroni/igx026","ISSN":"23995300","abstract":"The period of young adulthood has transformed dramatically over the past few decades. Today, scholars refer to \"emerging adulthood\"and \"transitions to adulthood\"to describe adults in their 20s. Prolonged youth has brought concomitant prolonged parenthood. This article addresses 3 areas of change in parent/child ties, increased (a) contact between generations, (b) support from parents to grown children as well as coresidence and (c) affection between the generations. We apply the Multidimensional Intergenerational Support Model (MISM) to explain these changes, considering societal (e.g., economic, technological), cultural, family demographic (e.g., fertility, stepparenting), relationship, and psychological (normative beliefs, affection) factors. Several theoretical perspectives (e.g., life course theory, family systems theory) suggest that these changes may have implications for the midlife parents' well-being. For example, parents may incur deleterious effects from (a) grown children's problems or (b) their own normative beliefs that offspring should be independent. Parents may benefit via opportunities for generativity with young adult offspring. Furthermore, current patterns may affect future parental aging. As parents incur declines of late life, they may be able to turn to caregivers with whom they have intimate bonds. Alternately, parents may be less able to obtain such care due to demographic changes involving grown children raising their own children later or who have never fully launched. It is important to consider shifts in the nature of young adulthood to prepare for midlife parents' future aging.","author":[{"dropping-particle":"","family":"Fingerman","given":"Karen L.","non-dropping-particle":"","parse-names":false,"suffix":""}],"container-title":"Innovation in Aging","id":"ITEM-1","issue":"3","issued":{"date-parts":[["2017"]]},"page":"1-16","title":"Millennials and Their Parents: Implications of the New Young Adulthood for Midlife Adults","type":"article-journal","volume":"1"},"uris":["http://www.mendeley.com/documents/?uuid=9c31e5a5-11a8-4e3b-a2ad-dc7a441e9639"]},{"id":"ITEM-2","itemData":{"DOI":"10.1037/amp0000591","ISSN":"0003066X","PMID":"32378943","abstract":"Development is a cumulative, lifelong process, but strikingly little is known about development in midlife. As a consequence, many misconceptions exist about the nature of midlife and the developmental milestones and challenges faced by middle-aged adults. We first review dominant views and empirical research that has debunked false narratives. Next, we discuss major opportunities and challenges of midlife. This includes the unique constellation of roles and life transitions that are distinct from earlier and later life phases as well as shifting trends in mental and physical health and in family composition. We additionally highlight the importance of (historical shifts in) intergenerational dynamics of middle-aged adults with their aging parents, adult children, and grandchildren; financial vulnerabilities that emerge and often accrue from economic failures and labor market volatility; the shrinking social and health care safety net; and the rising costs of raising children. In doing so, we discuss issues of diversity and note similarities and differences in midlife experiences across race or ethnicity, sexual orientation, and socioeconomic status. We consider midlife as a pivotal period that includes a focus on balancing gains and losses, linking earlier and later life periods, and bridging generations. Finally, we propose possibilities for promoting reversibility and resilience with interventions and policy changes. The suggested agenda for future research promises to reconceptualize midlife as a key period of life, with a concerted effort to focus on the diversity of midlife experiences in order to meet the unprecedented challenges and opportunities in the 2020s and beyond.","author":[{"dropping-particle":"","family":"Infurna","given":"Frank J.","non-dropping-particle":"","parse-names":false,"suffix":""},{"dropping-particle":"","family":"Gerstorf","given":"Denis","non-dropping-particle":"","parse-names":false,"suffix":""},{"dropping-particle":"","family":"Lachman","given":"Margie E.","non-dropping-particle":"","parse-names":false,"suffix":""}],"container-title":"American Psychologist","id":"ITEM-2","issue":"4","issued":{"date-parts":[["2020"]]},"page":"470-485","title":"Midlife in the 2020s: Opportunities and challenges","type":"article-journal","volume":"75"},"uris":["http://www.mendeley.com/documents/?uuid=58a4704d-5388-4bcb-8b69-bcdfebe59cfc"]}],"mendeley":{"formattedCitation":"(Fingerman, 2017; Infurna et al., 2020)","plainTextFormattedCitation":"(Fingerman, 2017; Infurna et al., 2020)","previouslyFormattedCitation":"(Fingerman, 2017; Infurna et al., 2020)"},"properties":{"noteIndex":0},"schema":"https://github.com/citation-style-language/schema/raw/master/csl-citation.json"}</w:instrText>
      </w:r>
      <w:r w:rsidR="003C4047" w:rsidRPr="00AD597A">
        <w:rPr>
          <w:sz w:val="24"/>
          <w:szCs w:val="24"/>
        </w:rPr>
        <w:fldChar w:fldCharType="separate"/>
      </w:r>
      <w:r w:rsidR="000443B6" w:rsidRPr="00A066FF">
        <w:rPr>
          <w:noProof/>
          <w:sz w:val="24"/>
          <w:szCs w:val="24"/>
        </w:rPr>
        <w:t>(Fingerman, 2017; Infurna et al., 2020)</w:t>
      </w:r>
      <w:r w:rsidR="003C4047" w:rsidRPr="00AD597A">
        <w:rPr>
          <w:sz w:val="24"/>
          <w:szCs w:val="24"/>
        </w:rPr>
        <w:fldChar w:fldCharType="end"/>
      </w:r>
      <w:r w:rsidR="003C4047" w:rsidRPr="00AD597A">
        <w:rPr>
          <w:sz w:val="24"/>
          <w:szCs w:val="24"/>
        </w:rPr>
        <w:t xml:space="preserve">. </w:t>
      </w:r>
      <w:r w:rsidR="00EE1602" w:rsidRPr="00AD597A">
        <w:rPr>
          <w:sz w:val="24"/>
          <w:szCs w:val="24"/>
        </w:rPr>
        <w:t xml:space="preserve">Financial pressures, exacerbated by </w:t>
      </w:r>
      <w:r w:rsidR="00FF2781" w:rsidRPr="00AD597A">
        <w:rPr>
          <w:sz w:val="24"/>
          <w:szCs w:val="24"/>
        </w:rPr>
        <w:t>labour</w:t>
      </w:r>
      <w:r w:rsidR="00EE1602" w:rsidRPr="00AD597A">
        <w:rPr>
          <w:sz w:val="24"/>
          <w:szCs w:val="24"/>
        </w:rPr>
        <w:t xml:space="preserve"> market volatility and shrinking social safety nets, further contribute to vulnerability </w:t>
      </w:r>
      <w:r w:rsidR="00FF2781" w:rsidRPr="00AD597A">
        <w:rPr>
          <w:sz w:val="24"/>
          <w:szCs w:val="24"/>
        </w:rPr>
        <w:fldChar w:fldCharType="begin" w:fldLock="1"/>
      </w:r>
      <w:r w:rsidR="004648C4">
        <w:rPr>
          <w:sz w:val="24"/>
          <w:szCs w:val="24"/>
        </w:rPr>
        <w:instrText>ADDIN CSL_CITATION {"citationItems":[{"id":"ITEM-1","itemData":{"DOI":"10.1037/amp0000591","ISSN":"0003066X","PMID":"32378943","abstract":"Development is a cumulative, lifelong process, but strikingly little is known about development in midlife. As a consequence, many misconceptions exist about the nature of midlife and the developmental milestones and challenges faced by middle-aged adults. We first review dominant views and empirical research that has debunked false narratives. Next, we discuss major opportunities and challenges of midlife. This includes the unique constellation of roles and life transitions that are distinct from earlier and later life phases as well as shifting trends in mental and physical health and in family composition. We additionally highlight the importance of (historical shifts in) intergenerational dynamics of middle-aged adults with their aging parents, adult children, and grandchildren; financial vulnerabilities that emerge and often accrue from economic failures and labor market volatility; the shrinking social and health care safety net; and the rising costs of raising children. In doing so, we discuss issues of diversity and note similarities and differences in midlife experiences across race or ethnicity, sexual orientation, and socioeconomic status. We consider midlife as a pivotal period that includes a focus on balancing gains and losses, linking earlier and later life periods, and bridging generations. Finally, we propose possibilities for promoting reversibility and resilience with interventions and policy changes. The suggested agenda for future research promises to reconceptualize midlife as a key period of life, with a concerted effort to focus on the diversity of midlife experiences in order to meet the unprecedented challenges and opportunities in the 2020s and beyond.","author":[{"dropping-particle":"","family":"Infurna","given":"Frank J.","non-dropping-particle":"","parse-names":false,"suffix":""},{"dropping-particle":"","family":"Gerstorf","given":"Denis","non-dropping-particle":"","parse-names":false,"suffix":""},{"dropping-particle":"","family":"Lachman","given":"Margie E.","non-dropping-particle":"","parse-names":false,"suffix":""}],"container-title":"American Psychologist","id":"ITEM-1","issue":"4","issued":{"date-parts":[["2020"]]},"page":"470-485","title":"Midlife in the 2020s: Opportunities and challenges","type":"article-journal","volume":"75"},"uris":["http://www.mendeley.com/documents/?uuid=58a4704d-5388-4bcb-8b69-bcdfebe59cfc"]}],"mendeley":{"formattedCitation":"(Infurna et al., 2020)","plainTextFormattedCitation":"(Infurna et al., 2020)","previouslyFormattedCitation":"(Infurna et al., 2020)"},"properties":{"noteIndex":0},"schema":"https://github.com/citation-style-language/schema/raw/master/csl-citation.json"}</w:instrText>
      </w:r>
      <w:r w:rsidR="00FF2781" w:rsidRPr="00AD597A">
        <w:rPr>
          <w:sz w:val="24"/>
          <w:szCs w:val="24"/>
        </w:rPr>
        <w:fldChar w:fldCharType="separate"/>
      </w:r>
      <w:r w:rsidR="000443B6" w:rsidRPr="00A066FF">
        <w:rPr>
          <w:noProof/>
          <w:sz w:val="24"/>
          <w:szCs w:val="24"/>
        </w:rPr>
        <w:t>(Infurna et al., 2020)</w:t>
      </w:r>
      <w:r w:rsidR="00FF2781" w:rsidRPr="00AD597A">
        <w:rPr>
          <w:sz w:val="24"/>
          <w:szCs w:val="24"/>
        </w:rPr>
        <w:fldChar w:fldCharType="end"/>
      </w:r>
      <w:r w:rsidR="00FF2781" w:rsidRPr="00AD597A">
        <w:rPr>
          <w:sz w:val="24"/>
          <w:szCs w:val="24"/>
        </w:rPr>
        <w:t>.</w:t>
      </w:r>
      <w:r w:rsidR="004C7DE2" w:rsidRPr="00AD597A">
        <w:rPr>
          <w:sz w:val="24"/>
          <w:szCs w:val="24"/>
        </w:rPr>
        <w:t xml:space="preserve"> </w:t>
      </w:r>
      <w:r w:rsidR="004C7DE2" w:rsidRPr="00AD597A">
        <w:rPr>
          <w:sz w:val="24"/>
          <w:szCs w:val="24"/>
        </w:rPr>
        <w:fldChar w:fldCharType="begin" w:fldLock="1"/>
      </w:r>
      <w:r w:rsidR="004C7DE2" w:rsidRPr="00AD597A">
        <w:rPr>
          <w:sz w:val="24"/>
          <w:szCs w:val="24"/>
        </w:rPr>
        <w:instrText>ADDIN CSL_CITATION {"citationItems":[{"id":"ITEM-1","itemData":{"author":[{"dropping-particle":"","family":"Murthy","given":"V","non-dropping-particle":"","parse-names":false,"suffix":""}],"container-title":"Harvard Business Review","id":"ITEM-1","issued":{"date-parts":[["2017"]]},"page":"3-7","title":"Work and the Loneliness Epidemic","type":"article-journal","volume":"9"},"uris":["http://www.mendeley.com/documents/?uuid=ae68a19f-0025-47a8-8462-af125a1550e3"]}],"mendeley":{"formattedCitation":"(Murthy, 2017)","manualFormatting":"Murthy (2017)","plainTextFormattedCitation":"(Murthy, 2017)","previouslyFormattedCitation":"(Murthy, 2017)"},"properties":{"noteIndex":0},"schema":"https://github.com/citation-style-language/schema/raw/master/csl-citation.json"}</w:instrText>
      </w:r>
      <w:r w:rsidR="004C7DE2" w:rsidRPr="00AD597A">
        <w:rPr>
          <w:sz w:val="24"/>
          <w:szCs w:val="24"/>
        </w:rPr>
        <w:fldChar w:fldCharType="separate"/>
      </w:r>
      <w:r w:rsidR="004C7DE2" w:rsidRPr="00AD597A">
        <w:rPr>
          <w:noProof/>
          <w:sz w:val="24"/>
          <w:szCs w:val="24"/>
        </w:rPr>
        <w:t>Murthy (2017)</w:t>
      </w:r>
      <w:r w:rsidR="004C7DE2" w:rsidRPr="00AD597A">
        <w:rPr>
          <w:sz w:val="24"/>
          <w:szCs w:val="24"/>
        </w:rPr>
        <w:fldChar w:fldCharType="end"/>
      </w:r>
      <w:r w:rsidR="004C7DE2" w:rsidRPr="00AD597A">
        <w:rPr>
          <w:sz w:val="24"/>
          <w:szCs w:val="24"/>
        </w:rPr>
        <w:t xml:space="preserve"> also suggests that e</w:t>
      </w:r>
      <w:r w:rsidR="00EE1602" w:rsidRPr="00AD597A">
        <w:rPr>
          <w:sz w:val="24"/>
          <w:szCs w:val="24"/>
        </w:rPr>
        <w:t>volving work models, such as telecommuting and gig economy arrangements</w:t>
      </w:r>
      <w:r w:rsidR="005D32BB">
        <w:rPr>
          <w:sz w:val="24"/>
          <w:szCs w:val="24"/>
        </w:rPr>
        <w:t xml:space="preserve"> </w:t>
      </w:r>
      <w:r w:rsidR="005D32BB">
        <w:rPr>
          <w:sz w:val="24"/>
          <w:szCs w:val="24"/>
        </w:rPr>
        <w:fldChar w:fldCharType="begin" w:fldLock="1"/>
      </w:r>
      <w:r w:rsidR="004648C4">
        <w:rPr>
          <w:sz w:val="24"/>
          <w:szCs w:val="24"/>
        </w:rPr>
        <w:instrText>ADDIN CSL_CITATION {"citationItems":[{"id":"ITEM-1","itemData":{"DOI":"10.1136/bmjopen-2022-066389","ISSN":"20446055","PMID":"36600336","abstract":"Objectives To compare the mental health and life satisfaction of those employed in the gig work and contingent work with those in full-time or part-time work and the unemployed in the UK during the COVID-19 pandemic. To explore the possible mechanisms of latent and manifest benefits of employment, such as financial precarity and loneliness. Design Cross-sectional survey. Participants A representative sample of 17 722 employed and unemployed British adults, including 429 gig workers. People with disability, retirees and full-time students are not included in the sample. Main outcome measures Mental health (General Health Questionnaire-12 score) and life satisfaction (a direct question from UK Household Longitudinal Study (UKHLS)) as outcomes. Self-reported loneliness (four widely used questions from UKHLS) and financial precarity (a direct question from UKHLS) as mediators. Results Gig workers reported mental health and life satisfaction worse than those employed full time and part time, but better than the unemployed. Mediation analyses showed that gig workers' worse mental health and life satisfaction than other workers were explained by their higher levels of loneliness and financial precarity, while gig workers' better mental health and life satisfaction than the unemployed were explained by their less financial precarity. Conclusions Informal and freelance economy provided manifest benefits of employment to gig workers compared with unemployment but lacked latent benefits of employment. Public policies should provide social support to freelance and contingent workers to reduce their loneliness and improve their psychological well-being, especially during the COVID-19 pandemic.","author":[{"dropping-particle":"","family":"Wang","given":"Senhu","non-dropping-particle":"","parse-names":false,"suffix":""},{"dropping-particle":"","family":"Li","given":"Lambert Zixin","non-dropping-particle":"","parse-names":false,"suffix":""},{"dropping-particle":"","family":"Coutts","given":"Adam","non-dropping-particle":"","parse-names":false,"suffix":""}],"container-title":"BMJ Open","id":"ITEM-1","issue":"12","issued":{"date-parts":[["2022"]]},"page":"1-8","title":"National survey of mental health and life satisfaction of gig workers: the role of loneliness and financial precarity","type":"article-journal","volume":"12"},"uris":["http://www.mendeley.com/documents/?uuid=0321919b-3f59-4e0f-97c8-c626b0bd366d"]}],"mendeley":{"formattedCitation":"(Wang et al., 2022)","plainTextFormattedCitation":"(Wang et al., 2022)","previouslyFormattedCitation":"(Wang et al., 2022)"},"properties":{"noteIndex":0},"schema":"https://github.com/citation-style-language/schema/raw/master/csl-citation.json"}</w:instrText>
      </w:r>
      <w:r w:rsidR="005D32BB">
        <w:rPr>
          <w:sz w:val="24"/>
          <w:szCs w:val="24"/>
        </w:rPr>
        <w:fldChar w:fldCharType="separate"/>
      </w:r>
      <w:r w:rsidR="000443B6" w:rsidRPr="00A066FF">
        <w:rPr>
          <w:noProof/>
          <w:sz w:val="24"/>
          <w:szCs w:val="24"/>
        </w:rPr>
        <w:t>(Wang et al., 2022)</w:t>
      </w:r>
      <w:r w:rsidR="005D32BB">
        <w:rPr>
          <w:sz w:val="24"/>
          <w:szCs w:val="24"/>
        </w:rPr>
        <w:fldChar w:fldCharType="end"/>
      </w:r>
      <w:r w:rsidR="00EE1602" w:rsidRPr="00AD597A">
        <w:rPr>
          <w:sz w:val="24"/>
          <w:szCs w:val="24"/>
        </w:rPr>
        <w:t xml:space="preserve">, while offering flexibility, can </w:t>
      </w:r>
      <w:r w:rsidR="00DD375D" w:rsidRPr="00AD597A">
        <w:rPr>
          <w:sz w:val="24"/>
          <w:szCs w:val="24"/>
        </w:rPr>
        <w:t xml:space="preserve">also </w:t>
      </w:r>
      <w:r w:rsidR="00EE1602" w:rsidRPr="00AD597A">
        <w:rPr>
          <w:sz w:val="24"/>
          <w:szCs w:val="24"/>
        </w:rPr>
        <w:t xml:space="preserve">inadvertently reduce opportunities for in-person interaction and relationship </w:t>
      </w:r>
      <w:r w:rsidR="008B2E36">
        <w:rPr>
          <w:sz w:val="24"/>
          <w:szCs w:val="24"/>
        </w:rPr>
        <w:t>buildin</w:t>
      </w:r>
      <w:r w:rsidR="00EE1602" w:rsidRPr="00AD597A">
        <w:rPr>
          <w:sz w:val="24"/>
          <w:szCs w:val="24"/>
        </w:rPr>
        <w:t>g</w:t>
      </w:r>
      <w:r w:rsidR="00FB3EFD" w:rsidRPr="00AD597A">
        <w:rPr>
          <w:sz w:val="24"/>
          <w:szCs w:val="24"/>
        </w:rPr>
        <w:t xml:space="preserve">. </w:t>
      </w:r>
      <w:r w:rsidR="00EE1602" w:rsidRPr="00AD597A">
        <w:rPr>
          <w:sz w:val="24"/>
          <w:szCs w:val="24"/>
        </w:rPr>
        <w:t>Even traditional office environments may not foster genuine connection, with employees often isolated despite physical proximity</w:t>
      </w:r>
      <w:r w:rsidR="001A3CF0">
        <w:rPr>
          <w:sz w:val="24"/>
          <w:szCs w:val="24"/>
        </w:rPr>
        <w:t xml:space="preserve"> </w:t>
      </w:r>
      <w:r w:rsidR="00637300">
        <w:rPr>
          <w:sz w:val="24"/>
          <w:szCs w:val="24"/>
        </w:rPr>
        <w:fldChar w:fldCharType="begin" w:fldLock="1"/>
      </w:r>
      <w:r w:rsidR="002F737B">
        <w:rPr>
          <w:sz w:val="24"/>
          <w:szCs w:val="24"/>
        </w:rPr>
        <w:instrText>ADDIN CSL_CITATION {"citationItems":[{"id":"ITEM-1","itemData":{"author":[{"dropping-particle":"","family":"Murthy","given":"V","non-dropping-particle":"","parse-names":false,"suffix":""}],"container-title":"Harvard Business Review","id":"ITEM-1","issued":{"date-parts":[["2017"]]},"page":"3-7","title":"Work and the Loneliness Epidemic","type":"article-journal","volume":"9"},"uris":["http://www.mendeley.com/documents/?uuid=ae68a19f-0025-47a8-8462-af125a1550e3"]}],"mendeley":{"formattedCitation":"(Murthy, 2017)","plainTextFormattedCitation":"(Murthy, 2017)","previouslyFormattedCitation":"(Murthy, 2017)"},"properties":{"noteIndex":0},"schema":"https://github.com/citation-style-language/schema/raw/master/csl-citation.json"}</w:instrText>
      </w:r>
      <w:r w:rsidR="00637300">
        <w:rPr>
          <w:sz w:val="24"/>
          <w:szCs w:val="24"/>
        </w:rPr>
        <w:fldChar w:fldCharType="separate"/>
      </w:r>
      <w:r w:rsidR="00637300" w:rsidRPr="00637300">
        <w:rPr>
          <w:noProof/>
          <w:sz w:val="24"/>
          <w:szCs w:val="24"/>
        </w:rPr>
        <w:t>(Murthy, 2017)</w:t>
      </w:r>
      <w:r w:rsidR="00637300">
        <w:rPr>
          <w:sz w:val="24"/>
          <w:szCs w:val="24"/>
        </w:rPr>
        <w:fldChar w:fldCharType="end"/>
      </w:r>
      <w:r w:rsidR="00FB3EFD" w:rsidRPr="00AD597A">
        <w:rPr>
          <w:sz w:val="24"/>
          <w:szCs w:val="24"/>
        </w:rPr>
        <w:t>.</w:t>
      </w:r>
    </w:p>
    <w:p w14:paraId="4258F466" w14:textId="061FC740" w:rsidR="000726F2" w:rsidRPr="00AD597A" w:rsidRDefault="00EE1602" w:rsidP="007F1CF3">
      <w:pPr>
        <w:spacing w:line="360" w:lineRule="auto"/>
        <w:rPr>
          <w:sz w:val="24"/>
          <w:szCs w:val="24"/>
        </w:rPr>
      </w:pPr>
      <w:r w:rsidRPr="00AD597A">
        <w:rPr>
          <w:sz w:val="24"/>
          <w:szCs w:val="24"/>
        </w:rPr>
        <w:t>The impact of digital interaction on loneliness is a</w:t>
      </w:r>
      <w:r w:rsidR="009F2070">
        <w:rPr>
          <w:sz w:val="24"/>
          <w:szCs w:val="24"/>
        </w:rPr>
        <w:t>lso a</w:t>
      </w:r>
      <w:r w:rsidRPr="00AD597A">
        <w:rPr>
          <w:sz w:val="24"/>
          <w:szCs w:val="24"/>
        </w:rPr>
        <w:t xml:space="preserve"> subject of ongoing debate </w:t>
      </w:r>
      <w:r w:rsidR="00FB3EFD" w:rsidRPr="00AD597A">
        <w:rPr>
          <w:sz w:val="24"/>
          <w:szCs w:val="24"/>
        </w:rPr>
        <w:fldChar w:fldCharType="begin" w:fldLock="1"/>
      </w:r>
      <w:r w:rsidR="000F3A06">
        <w:rPr>
          <w:sz w:val="24"/>
          <w:szCs w:val="24"/>
        </w:rPr>
        <w:instrText>ADDIN CSL_CITATION {"citationItems":[{"id":"ITEM-1","itemData":{"abstract":"Everyone feels lonely some of the time. However, chronic loneliness can impair learning, affect physical and mental health, and is even linked to early death. Loneliness is thus not only a personal matter; it is a public health concern. Schools provide spaces and opportunities for friendships. By bringing together students from different backgrounds, education can help forge connections across social groups, strengthen social skills and provide access to activities that are meaningful over a lifetime. It can also build skills needed to prevent or break the negative thought processes associated with chronic loneliness.","author":[{"dropping-particle":"","family":"OECD","given":"","non-dropping-particle":"","parse-names":false,"suffix":""}],"container-title":"Trends Shaping Education Spotlights","id":"ITEM-1","issued":{"date-parts":[["2021"]]},"publisher":"oecd","title":"All the lonely people: Education and loneliness","type":"book","volume":"23"},"uris":["http://www.mendeley.com/documents/?uuid=7821aa0e-44f6-4c8b-887f-479d467e5aaf"]},{"id":"ITEM-2","itemData":{"abstract":"A Surgeon General’s Advisory is a public statement that calls the American people’s attention to an urgent public health issue and provides recommendations for how it should be addressed. Advisories are reserved for significant public health challenges that require the nation’s immediate awareness and action. This Advisory calls attention to the growing concerns about the effects of social media on youth mental health. It explores and describes the current evidence on the positive and negative impacts of social media on children and adolescents, some of the primary areas for mental health and well-being concerns, and opportunities for additional research to help understand the full scope and scale of social media’s impact. This document is not an exhaustive review of the literature. Rather, it was developed through a substantial review of the available evidence, primarily found via electronic searches of research articles published in English and resources suggested by a wide range of subject matter experts, with priority given to, but not limited to, meta-analyses and systematic literature reviews. It also offers actionable recommendations for the institutions that can shape online environments—policymakers and technology companies—as well as for what parents and caregivers, young people, and researchers can do","author":[{"dropping-particle":"","family":"US Surgeon General","given":"","non-dropping-particle":"","parse-names":false,"suffix":""}],"container-title":"Office of the Surgeon General","id":"ITEM-2","issued":{"date-parts":[["2023"]]},"number-of-pages":"25","publisher":"Office of the U.S. Surgeon General","title":"Social Media and Youth Mental Health: The U.S. Surgeon General’s Advisory","type":"book"},"uris":["http://www.mendeley.com/documents/?uuid=9ba7f1d8-ca77-4548-8ce2-191d013d2835"]}],"mendeley":{"formattedCitation":"(OECD, 2021; US Surgeon General, 2023b)","plainTextFormattedCitation":"(OECD, 2021; US Surgeon General, 2023b)","previouslyFormattedCitation":"(OECD, 2021; US Surgeon General, 2023b)"},"properties":{"noteIndex":0},"schema":"https://github.com/citation-style-language/schema/raw/master/csl-citation.json"}</w:instrText>
      </w:r>
      <w:r w:rsidR="00FB3EFD" w:rsidRPr="00AD597A">
        <w:rPr>
          <w:sz w:val="24"/>
          <w:szCs w:val="24"/>
        </w:rPr>
        <w:fldChar w:fldCharType="separate"/>
      </w:r>
      <w:r w:rsidR="004648C4" w:rsidRPr="004648C4">
        <w:rPr>
          <w:noProof/>
          <w:sz w:val="24"/>
          <w:szCs w:val="24"/>
        </w:rPr>
        <w:t>(OECD, 2021; US Surgeon General, 2023b)</w:t>
      </w:r>
      <w:r w:rsidR="00FB3EFD" w:rsidRPr="00AD597A">
        <w:rPr>
          <w:sz w:val="24"/>
          <w:szCs w:val="24"/>
        </w:rPr>
        <w:fldChar w:fldCharType="end"/>
      </w:r>
      <w:r w:rsidR="00FB3EFD" w:rsidRPr="00AD597A">
        <w:rPr>
          <w:sz w:val="24"/>
          <w:szCs w:val="24"/>
        </w:rPr>
        <w:t xml:space="preserve">. </w:t>
      </w:r>
      <w:r w:rsidRPr="00AD597A">
        <w:rPr>
          <w:sz w:val="24"/>
          <w:szCs w:val="24"/>
        </w:rPr>
        <w:t>While excessive internet and social media use has been linked to decreased life satisfaction and well-being, particularly among youth facing social pressures</w:t>
      </w:r>
      <w:r w:rsidR="00FB3EFD" w:rsidRPr="00AD597A">
        <w:rPr>
          <w:sz w:val="24"/>
          <w:szCs w:val="24"/>
        </w:rPr>
        <w:t xml:space="preserve"> </w:t>
      </w:r>
      <w:r w:rsidR="00FB3EFD" w:rsidRPr="00AD597A">
        <w:rPr>
          <w:sz w:val="24"/>
          <w:szCs w:val="24"/>
        </w:rPr>
        <w:fldChar w:fldCharType="begin" w:fldLock="1"/>
      </w:r>
      <w:r w:rsidR="004648C4">
        <w:rPr>
          <w:sz w:val="24"/>
          <w:szCs w:val="24"/>
        </w:rPr>
        <w:instrText>ADDIN CSL_CITATION {"citationItems":[{"id":"ITEM-1","itemData":{"DOI":"10.1037/bul0000138","ISSN":"00332909","PMID":"29283599","abstract":"From the 1980s onward, neoliberal governance in the United States, Canada, and the United Kingdom has emphasized competitive individualism and people have seemingly responded, in kind, by agitating to perfect themselves and their lifestyles. In this study, the authors examine whether cultural changes have coincided with an increase in multidimensional perfectionism in college students over the last 27 years. Their analyses are based on 164 samples and 41,641 American, Canadian, and British college students, who completed the Multidimensional Perfectionism Scale (Hewitt &amp; Flett, 1991) between 1989 and 2016 (70.92% female, M age = 20.66). Cross-temporal meta-analysis revealed that levels of selforiented perfectionism, socially prescribed perfectionism, and other-oriented perfectionism have linearly increased. These trends remained when controlling for gender and between-country differences in perfectionism scores. Overall, in order of magnitude of the observed increase, the findings indicate that recent generations of young people perceive that others are more demanding of them, are more demanding of others, and are more demanding of themselves.","author":[{"dropping-particle":"","family":"Curran","given":"Thomas","non-dropping-particle":"","parse-names":false,"suffix":""},{"dropping-particle":"","family":"Hill","given":"Andrew P.","non-dropping-particle":"","parse-names":false,"suffix":""}],"container-title":"Psychological Bulletin","id":"ITEM-1","issue":"4","issued":{"date-parts":[["2019"]]},"page":"410-429","title":"Perfectionism is increasing over time: A meta-analysis of birth cohort differences from 1989 to 2016","type":"article-journal","volume":"145"},"uris":["http://www.mendeley.com/documents/?uuid=73c2d727-7cf9-4758-b896-3709943d9a4b"]},{"id":"ITEM-2","itemData":{"DOI":"10.1016/j.chb.2016.03.084","ISSN":"07475632","abstract":"Social media use continues to grow and is especially prevalent among young adults. It is surprising then that, in spite of this enhanced interconnectivity, young adults may be lonelier than other age groups, and that the current generation may be the loneliest ever. We propose that only image-based platforms (e.g., Instagram, Snapchat) have the potential to ameliorate loneliness due to the enhanced intimacy they offer. In contrast, text-based platforms (e.g., Twitter, Yik Yak) offer little intimacy and should have no effect on loneliness. This study (N = 253) uses a mixed-design survey to test this possibility. Quantitative results suggest that loneliness may decrease, while happiness and satisfaction with life may increase, as a function of image-based social media use. In contrast, text-based media use appears ineffectual. Qualitative results suggest that the observed effects may be due to the enhanced intimacy offered by image-based (versus text-based) social media use.","author":[{"dropping-particle":"","family":"Pittman","given":"Matthew","non-dropping-particle":"","parse-names":false,"suffix":""},{"dropping-particle":"","family":"Reich","given":"Brandon","non-dropping-particle":"","parse-names":false,"suffix":""}],"container-title":"Computers in Human Behavior","id":"ITEM-2","issued":{"date-parts":[["2016"]]},"page":"155-167","publisher":"Elsevier Ltd","title":"Social media and loneliness: Why an Instagram picture may be worth more than a thousand Twitter words","type":"article-journal","volume":"62"},"uris":["http://www.mendeley.com/documents/?uuid=41262de8-28c2-4cc0-88b1-03803cd2018f"]},{"id":"ITEM-3","itemData":{"DOI":"10.1093/her/cyac010","ISSN":"14653648","PMID":"35543267","abstract":"Highly visual social media (HVSM) platforms, such as Snapchat, Instagram and TikTok, are increasingly popular among young people. It is unclear what motivates young people to engage with these specific highly visual platforms and what impact the inherent features of HVSM have on young people's mental health. Nine semi-structured focus group sessions were conducted with males and females aged 14 and 15 years (n = 47) across five secondary schools in Northern Ireland. Thematic analyses were conducted, and a conceptual model was developed to illustrate the findings. This study found that features such as likes/comments on visuals and scrolling through a feed were associated with the role of 'viewer', instigating longer-lasting feelings of jealousy, inferiority and pressure to be accepted. To combat these negative emotions, young people turn to the role of 'contributor' by using filters, selecting highlights to post to their feed and adjusting their personas, resulting in temporary feelings of higher self-esteem, greater acceptance and popularity. As users of HVSM are constantly switching between the role of viewer and contributor, the emotions they experience are also constantly switching between instant inadequacy and instant gratification. HVSM appears to trigger an unrelenting process of emotional highs and lows for its adolescent users.","author":[{"dropping-particle":"","family":"Mccrory","given":"Alanna","non-dropping-particle":"","parse-names":false,"suffix":""},{"dropping-particle":"","family":"Best","given":"Paul","non-dropping-particle":"","parse-names":false,"suffix":""},{"dropping-particle":"","family":"Maddock","given":"Alan","non-dropping-particle":"","parse-names":false,"suffix":""}],"container-title":"Health Education Research","id":"ITEM-3","issue":"3","issued":{"date-parts":[["2022"]]},"page":"167-184","title":"'It's just one big vicious circle': young people's experiences of highly visual social media and their mental health","type":"article-journal","volume":"37"},"uris":["http://www.mendeley.com/documents/?uuid=546b3f3a-07ea-4965-b4c7-7f8e6991f21a"]}],"mendeley":{"formattedCitation":"(Curran and Hill, 2019; Mccrory et al., 2022; Pittman and Reich, 2016)","plainTextFormattedCitation":"(Curran and Hill, 2019; Mccrory et al., 2022; Pittman and Reich, 2016)","previouslyFormattedCitation":"(Curran and Hill, 2019; Mccrory et al., 2022; Pittman and Reich, 2016)"},"properties":{"noteIndex":0},"schema":"https://github.com/citation-style-language/schema/raw/master/csl-citation.json"}</w:instrText>
      </w:r>
      <w:r w:rsidR="00FB3EFD" w:rsidRPr="00AD597A">
        <w:rPr>
          <w:sz w:val="24"/>
          <w:szCs w:val="24"/>
        </w:rPr>
        <w:fldChar w:fldCharType="separate"/>
      </w:r>
      <w:r w:rsidR="000443B6" w:rsidRPr="00A066FF">
        <w:rPr>
          <w:noProof/>
          <w:sz w:val="24"/>
          <w:szCs w:val="24"/>
        </w:rPr>
        <w:t>(Curran and Hill, 2019; Mccrory et al., 2022; Pittman and Reich, 2016)</w:t>
      </w:r>
      <w:r w:rsidR="00FB3EFD" w:rsidRPr="00AD597A">
        <w:rPr>
          <w:sz w:val="24"/>
          <w:szCs w:val="24"/>
        </w:rPr>
        <w:fldChar w:fldCharType="end"/>
      </w:r>
      <w:r w:rsidR="00FB3EFD" w:rsidRPr="00AD597A">
        <w:rPr>
          <w:sz w:val="24"/>
          <w:szCs w:val="24"/>
        </w:rPr>
        <w:t xml:space="preserve">, </w:t>
      </w:r>
      <w:r w:rsidRPr="00AD597A">
        <w:rPr>
          <w:sz w:val="24"/>
          <w:szCs w:val="24"/>
        </w:rPr>
        <w:t xml:space="preserve">the relationship is complex. Paradoxically, some research suggests adolescent loneliness </w:t>
      </w:r>
      <w:r w:rsidR="009B1BD2">
        <w:rPr>
          <w:sz w:val="24"/>
          <w:szCs w:val="24"/>
        </w:rPr>
        <w:t xml:space="preserve">has </w:t>
      </w:r>
      <w:r w:rsidRPr="00AD597A">
        <w:rPr>
          <w:sz w:val="24"/>
          <w:szCs w:val="24"/>
        </w:rPr>
        <w:t xml:space="preserve">decreased alongside increased smartphone access </w:t>
      </w:r>
      <w:r w:rsidR="00FB3EFD" w:rsidRPr="00AD597A">
        <w:rPr>
          <w:sz w:val="24"/>
          <w:szCs w:val="24"/>
        </w:rPr>
        <w:fldChar w:fldCharType="begin" w:fldLock="1"/>
      </w:r>
      <w:r w:rsidR="004648C4">
        <w:rPr>
          <w:sz w:val="24"/>
          <w:szCs w:val="24"/>
        </w:rPr>
        <w:instrText>ADDIN CSL_CITATION {"citationItems":[{"id":"ITEM-1","itemData":{"DOI":"10.1016/j.adolescence.2021.06.006","ISSN":"10959254","PMID":"34294429","abstract":"Introduction: Several studies have documented increases in adolescent loneliness and depression in the U.S., UK, and Canada after 2012, but it is unknown whether these trends appear worldwide or whether they are linked to factors such as economic conditions, technology use, or changes in family size. Methods: The Programme for International Student Assessment (PISA) survey of 15- and 16-year-old students around the world included a 6-item measure of school loneliness in 2000, 2003, 2012, 2015, and 2018 (n = 1,049,784, 51% female) across 37 countries. Results: School loneliness increased 2012–2018 in 36 out of 37 countries. Worldwide, nearly twice as many adolescents in 2018 (vs. 2012) had elevated levels of school loneliness. Increases in loneliness were larger among girls than among boys and in countries with full measurement invariance. In multi-level modeling analyses, school loneliness was high when smartphone access and internet use were high. In contrast, higher unemployment rates predicted lower school loneliness. Income inequality, GDP, and total fertility rate (family size) were not significantly related to school loneliness when matched by year. School loneliness was positively correlated with negative affect and negatively correlated with positive affect and life satisfaction, suggesting the measure has broad implications for adolescent well-being. Conclusions: The psychological well-being of adolescents around the world began to decline after 2012, in conjunction with the rise of smartphone access and increased internet use, though causation cannot be proven and more years of data will provide a more complete picture.","author":[{"dropping-particle":"","family":"Twenge","given":"Jean M.","non-dropping-particle":"","parse-names":false,"suffix":""},{"dropping-particle":"","family":"Haidt","given":"Jonathan","non-dropping-particle":"","parse-names":false,"suffix":""},{"dropping-particle":"","family":"Blake","given":"Andrew B.","non-dropping-particle":"","parse-names":false,"suffix":""},{"dropping-particle":"","family":"McAllister","given":"Cooper","non-dropping-particle":"","parse-names":false,"suffix":""},{"dropping-particle":"","family":"Lemon","given":"Hannah","non-dropping-particle":"","parse-names":false,"suffix":""},{"dropping-particle":"","family":"Roy","given":"Astrid","non-dropping-particle":"Le","parse-names":false,"suffix":""}],"container-title":"Journal of Adolescence","id":"ITEM-1","issue":"June","issued":{"date-parts":[["2021"]]},"page":"257-269","publisher":"Elsevier Ltd","title":"Worldwide increases in adolescent loneliness","type":"article-journal","volume":"93"},"uris":["http://www.mendeley.com/documents/?uuid=240f8920-b7a2-4533-b344-4382e279aaad"]}],"mendeley":{"formattedCitation":"(Twenge et al., 2021)","plainTextFormattedCitation":"(Twenge et al., 2021)","previouslyFormattedCitation":"(Twenge et al., 2021)"},"properties":{"noteIndex":0},"schema":"https://github.com/citation-style-language/schema/raw/master/csl-citation.json"}</w:instrText>
      </w:r>
      <w:r w:rsidR="00FB3EFD" w:rsidRPr="00AD597A">
        <w:rPr>
          <w:sz w:val="24"/>
          <w:szCs w:val="24"/>
        </w:rPr>
        <w:fldChar w:fldCharType="separate"/>
      </w:r>
      <w:r w:rsidR="00FB3EFD" w:rsidRPr="00A066FF">
        <w:rPr>
          <w:noProof/>
          <w:sz w:val="24"/>
          <w:szCs w:val="24"/>
        </w:rPr>
        <w:t>(Twenge et al., 2021)</w:t>
      </w:r>
      <w:r w:rsidR="00FB3EFD" w:rsidRPr="00AD597A">
        <w:rPr>
          <w:sz w:val="24"/>
          <w:szCs w:val="24"/>
        </w:rPr>
        <w:fldChar w:fldCharType="end"/>
      </w:r>
      <w:r w:rsidR="00FB3EFD" w:rsidRPr="00AD597A">
        <w:rPr>
          <w:sz w:val="24"/>
          <w:szCs w:val="24"/>
        </w:rPr>
        <w:t xml:space="preserve">, </w:t>
      </w:r>
      <w:r w:rsidRPr="00AD597A">
        <w:rPr>
          <w:sz w:val="24"/>
          <w:szCs w:val="24"/>
        </w:rPr>
        <w:t>although causality remains unclear. Other studies indicate only minor, inconsistent changes in global well-being and mental health trends, challenging a direct link between internet</w:t>
      </w:r>
      <w:r w:rsidR="00754968">
        <w:rPr>
          <w:sz w:val="24"/>
          <w:szCs w:val="24"/>
        </w:rPr>
        <w:t xml:space="preserve"> or </w:t>
      </w:r>
      <w:r w:rsidRPr="00AD597A">
        <w:rPr>
          <w:sz w:val="24"/>
          <w:szCs w:val="24"/>
        </w:rPr>
        <w:t xml:space="preserve">mobile broadband adoption and negative psychological outcomes </w:t>
      </w:r>
      <w:r w:rsidR="00FB3EFD" w:rsidRPr="00AD597A">
        <w:rPr>
          <w:sz w:val="24"/>
          <w:szCs w:val="24"/>
        </w:rPr>
        <w:fldChar w:fldCharType="begin" w:fldLock="1"/>
      </w:r>
      <w:r w:rsidR="00FB3EFD" w:rsidRPr="00AD597A">
        <w:rPr>
          <w:sz w:val="24"/>
          <w:szCs w:val="24"/>
        </w:rPr>
        <w:instrText>ADDIN CSL_CITATION {"citationItems":[{"id":"ITEM-1","itemData":{"DOI":"10.1177/21677026231207791","ISSN":"21677034","abstract":"In the last 2 decades, the widespread adoption of Internet technologies has inspired concern that they have negatively affected mental health and psychological well-being. However, research on the topic is contested and hampered by methodological shortcomings, leaving the broader consequences of Internet adoption unknown. We show that the past 2 decades have seen only small and inconsistent changes in global well-being and mental health that are not suggestive of the idea that the adoption of Internet and mobile broadband is consistently linked to negative psychological outcomes. Further investigation of this topic requires transparent study of online behaviors where they occur (i.e., on online platforms). We call for increased collaborative efforts between independent scientists and the Internet-technology sector.","author":[{"dropping-particle":"","family":"Vuorre","given":"Matti","non-dropping-particle":"","parse-names":false,"suffix":""},{"dropping-particle":"","family":"Przybylski","given":"Andrew K.","non-dropping-particle":"","parse-names":false,"suffix":""}],"container-title":"Clinical Psychological Science","id":"ITEM-1","issue":"5","issued":{"date-parts":[["2024"]]},"page":"917-935","title":"Global Well-Being and Mental Health in the Internet Age","type":"article-journal","volume":"12"},"uris":["http://www.mendeley.com/documents/?uuid=8187fe83-a972-4b1b-a27d-cebf1acf9fe2"]}],"mendeley":{"formattedCitation":"(Vuorre and Przybylski, 2024)","plainTextFormattedCitation":"(Vuorre and Przybylski, 2024)","previouslyFormattedCitation":"(Vuorre and Przybylski, 2024)"},"properties":{"noteIndex":0},"schema":"https://github.com/citation-style-language/schema/raw/master/csl-citation.json"}</w:instrText>
      </w:r>
      <w:r w:rsidR="00FB3EFD" w:rsidRPr="00AD597A">
        <w:rPr>
          <w:sz w:val="24"/>
          <w:szCs w:val="24"/>
        </w:rPr>
        <w:fldChar w:fldCharType="separate"/>
      </w:r>
      <w:r w:rsidR="00FB3EFD" w:rsidRPr="00AD597A">
        <w:rPr>
          <w:noProof/>
          <w:sz w:val="24"/>
          <w:szCs w:val="24"/>
        </w:rPr>
        <w:t>(Vuorre and Przybylski, 2024)</w:t>
      </w:r>
      <w:r w:rsidR="00FB3EFD" w:rsidRPr="00AD597A">
        <w:rPr>
          <w:sz w:val="24"/>
          <w:szCs w:val="24"/>
        </w:rPr>
        <w:fldChar w:fldCharType="end"/>
      </w:r>
      <w:r w:rsidR="00FB3EFD" w:rsidRPr="00AD597A">
        <w:rPr>
          <w:sz w:val="24"/>
          <w:szCs w:val="24"/>
        </w:rPr>
        <w:t xml:space="preserve">. </w:t>
      </w:r>
      <w:r w:rsidRPr="00AD597A">
        <w:rPr>
          <w:sz w:val="24"/>
          <w:szCs w:val="24"/>
        </w:rPr>
        <w:t>Furthermore, digital connections can complement traditional friendships and mitigate loneliness for marginali</w:t>
      </w:r>
      <w:r w:rsidR="00754968">
        <w:rPr>
          <w:sz w:val="24"/>
          <w:szCs w:val="24"/>
        </w:rPr>
        <w:t>s</w:t>
      </w:r>
      <w:r w:rsidRPr="00AD597A">
        <w:rPr>
          <w:sz w:val="24"/>
          <w:szCs w:val="24"/>
        </w:rPr>
        <w:t xml:space="preserve">ed groups, such as those with disabilities or </w:t>
      </w:r>
      <w:r w:rsidR="00754968">
        <w:rPr>
          <w:sz w:val="24"/>
          <w:szCs w:val="24"/>
        </w:rPr>
        <w:t xml:space="preserve">those </w:t>
      </w:r>
      <w:r w:rsidRPr="00AD597A">
        <w:rPr>
          <w:sz w:val="24"/>
          <w:szCs w:val="24"/>
        </w:rPr>
        <w:t xml:space="preserve">identifying as LGBT </w:t>
      </w:r>
      <w:r w:rsidR="00FB3EFD" w:rsidRPr="00AD597A">
        <w:rPr>
          <w:sz w:val="24"/>
          <w:szCs w:val="24"/>
        </w:rPr>
        <w:fldChar w:fldCharType="begin" w:fldLock="1"/>
      </w:r>
      <w:r w:rsidR="00FB3EFD" w:rsidRPr="00AD597A">
        <w:rPr>
          <w:sz w:val="24"/>
          <w:szCs w:val="24"/>
        </w:rPr>
        <w:instrText>ADDIN CSL_CITATION {"citationItems":[{"id":"ITEM-1","itemData":{"DOI":"10.1080/02673843.2023.2241524","ISSN":"02673843","abstract":"The internet provides opportunities for social interactions which first occur in an online environment that can lead to meeting up in real life. However, growing concerns around safety and privacy warrant greater study of this modern-day phenomenon. Using a longitudinal dataset of approximately 4,300 20-year-olds in Ireland, this study finds one-in-three report meeting someone from online. Multiple regression reveals that females are less likely to engage in such behaviour, while the trait of ‘openness’, spending more time on the internet, being non-heterosexual, using dating apps, and being sexually active at 17 years are positively associated. Early exposure to information and communication technologies, as indicated by mobile phone ownership at 9 years, is also associated with online-to-offline encounters. A range of policy considerations are discussed, including the continued need for education in e-safety and cyber safety awareness from a young age through young adulthood, particularly for groups such as LGBT communities.","author":[{"dropping-particle":"","family":"Mohan","given":"Gretta","non-dropping-particle":"","parse-names":false,"suffix":""}],"container-title":"International Journal of Adolescence and Youth","id":"ITEM-1","issue":"1","issued":{"date-parts":[["2023"]]},"publisher":"Routledge","title":"Characteristics and behaviours of young people who meet online contacts face-to-face","type":"article-journal","volume":"28"},"uris":["http://www.mendeley.com/documents/?uuid=d47e080a-e112-469e-94ed-1668c266fe9b"]},{"id":"ITEM-2","itemData":{"DOI":"10.3390/ijerph16183252","ISSN":"16604601","PMID":"31487949","abstract":"Introduction: There is strong evidence that people with disabilities suffer from a significant digital divide. However, there are reports indicating that Internet use may result in many benefits for those with disabilities. The aim of the study was to assess the impact that the use of the Internet has on the wellbeing and health behaviours of persons with disabilities. Methods: An analysis was carried out using the dataset obtained from Social Diagnosis, a panel study undertaken on a nationally representative sample. The records of persons with disabilities were retrieved from the dataset which was established in 2015. An analysis of the association between Internet use and the wellbeing, mental health and health behaviours of the respondents was undertaken. The variables reflecting the self-assessment of their own life and experience of loneliness were treated as being indicators of their wellbeing and the prevalence of suicidal thoughts or making use of psychological help as indicators of mental health. The health behaviours analysed in the study included smoking, excessive consumption of alcohol and undertaking physical activity. For all these variables, multivariate logistic regression models were developed. The effect of Internet use was adjusted for sociodemographic variables and the degree of disability. An analysis was performed after applying post-stratification weights available from the Social Diagnosis study. Results: The weighted study group consisted of 2529 people having a mean age of 59.33 ± 16.89 years. The group included 20.71% (N = 524) respondents with a mild, 41.58% (N = 1052) with a moderate, and 26.54% (N = 671) with a severe disability. The proportion of Internet users was 37.07% (N = 937). In all the regression models, Internet use had a significant impact on the dependent variables. After adjustment for sociodemographic variables and the degree of disability, the Internet users more frequently assessed their lives as happy (odds ratio, 95% confidence interval: 1.86, 1.47–2.37) and less frequently experienced loneliness (0.63, 0.49–0.81) or suicidal thoughts (0.47, 0.35–0.65). In addition, they needed psychological help less frequently (0.50, 0.35–0.72). Interestingly, Internet users undertook some form of physical activity or sport more often (2.41, 1.87–3.13) and fewer smoked cigarettes (0.70, 0.54–0.91) or consumed alcohol excessively (0.32, 0.19–0.56). Conclusions: The use of the Internet by people with disabilities was asso…","author":[{"dropping-particle":"","family":"Duplaga","given":"Mariusz","non-dropping-particle":"","parse-names":false,"suffix":""},{"dropping-particle":"","family":"Szulc","given":"Katarzyna","non-dropping-particle":"","parse-names":false,"suffix":""}],"container-title":"International Journal of Environmental Research and Public Health","id":"ITEM-2","issue":"18","issued":{"date-parts":[["2019"]]},"title":"The association of internet use with wellbeing, mental health and health behaviours of persons with disabilities","type":"article-journal","volume":"16"},"uris":["http://www.mendeley.com/documents/?uuid=fa9c079c-3cfa-482b-ab3d-a25785b52153"]}],"mendeley":{"formattedCitation":"(Duplaga and Szulc, 2019; Mohan, 2023)","plainTextFormattedCitation":"(Duplaga and Szulc, 2019; Mohan, 2023)","previouslyFormattedCitation":"(Duplaga and Szulc, 2019; Mohan, 2023)"},"properties":{"noteIndex":0},"schema":"https://github.com/citation-style-language/schema/raw/master/csl-citation.json"}</w:instrText>
      </w:r>
      <w:r w:rsidR="00FB3EFD" w:rsidRPr="00AD597A">
        <w:rPr>
          <w:sz w:val="24"/>
          <w:szCs w:val="24"/>
        </w:rPr>
        <w:fldChar w:fldCharType="separate"/>
      </w:r>
      <w:r w:rsidR="00FB3EFD" w:rsidRPr="00AD597A">
        <w:rPr>
          <w:noProof/>
          <w:sz w:val="24"/>
          <w:szCs w:val="24"/>
        </w:rPr>
        <w:t>(Duplaga and Szulc, 2019; Mohan, 2023)</w:t>
      </w:r>
      <w:r w:rsidR="00FB3EFD" w:rsidRPr="00AD597A">
        <w:rPr>
          <w:sz w:val="24"/>
          <w:szCs w:val="24"/>
        </w:rPr>
        <w:fldChar w:fldCharType="end"/>
      </w:r>
      <w:r w:rsidR="00FB3EFD" w:rsidRPr="00AD597A">
        <w:rPr>
          <w:sz w:val="24"/>
          <w:szCs w:val="24"/>
        </w:rPr>
        <w:t>.</w:t>
      </w:r>
    </w:p>
    <w:p w14:paraId="69A4D414" w14:textId="1E2B8B98" w:rsidR="000726F2" w:rsidRPr="00AD597A" w:rsidRDefault="00FC3BD9" w:rsidP="00754968">
      <w:pPr>
        <w:keepNext/>
        <w:spacing w:line="360" w:lineRule="auto"/>
        <w:rPr>
          <w:i/>
          <w:iCs/>
          <w:sz w:val="24"/>
          <w:szCs w:val="24"/>
        </w:rPr>
      </w:pPr>
      <w:r w:rsidRPr="00AD597A">
        <w:rPr>
          <w:i/>
          <w:iCs/>
          <w:sz w:val="24"/>
          <w:szCs w:val="24"/>
        </w:rPr>
        <w:t>2.2</w:t>
      </w:r>
      <w:r w:rsidR="004C7DE2" w:rsidRPr="00AD597A">
        <w:rPr>
          <w:i/>
          <w:iCs/>
          <w:sz w:val="24"/>
          <w:szCs w:val="24"/>
        </w:rPr>
        <w:t>.</w:t>
      </w:r>
      <w:r w:rsidRPr="00AD597A">
        <w:rPr>
          <w:i/>
          <w:iCs/>
          <w:sz w:val="24"/>
          <w:szCs w:val="24"/>
        </w:rPr>
        <w:t xml:space="preserve"> </w:t>
      </w:r>
      <w:r w:rsidR="000726F2" w:rsidRPr="00AD597A">
        <w:rPr>
          <w:i/>
          <w:iCs/>
          <w:sz w:val="24"/>
          <w:szCs w:val="24"/>
        </w:rPr>
        <w:t>Does loneliness impact on mental health?</w:t>
      </w:r>
    </w:p>
    <w:p w14:paraId="1A01C512" w14:textId="7DC95931" w:rsidR="000D5169" w:rsidRPr="00AD597A" w:rsidRDefault="000D5169" w:rsidP="00754968">
      <w:pPr>
        <w:keepNext/>
        <w:spacing w:line="360" w:lineRule="auto"/>
        <w:rPr>
          <w:sz w:val="24"/>
          <w:szCs w:val="24"/>
        </w:rPr>
      </w:pPr>
      <w:r w:rsidRPr="00AD597A">
        <w:rPr>
          <w:sz w:val="24"/>
          <w:szCs w:val="24"/>
        </w:rPr>
        <w:t xml:space="preserve">Loneliness, a subjective experience of social disconnection, has a demonstrably significant impact on mental health. A foundational study by </w:t>
      </w:r>
      <w:r w:rsidRPr="00AD597A">
        <w:rPr>
          <w:sz w:val="24"/>
          <w:szCs w:val="24"/>
        </w:rPr>
        <w:fldChar w:fldCharType="begin" w:fldLock="1"/>
      </w:r>
      <w:r w:rsidR="004648C4">
        <w:rPr>
          <w:sz w:val="24"/>
          <w:szCs w:val="24"/>
        </w:rPr>
        <w:instrText>ADDIN CSL_CITATION {"citationItems":[{"id":"ITEM-1","itemData":{"DOI":"10.1037/0882-7974.21.1.140","ISSN":"08827974","PMID":"16594799","abstract":"The extent to which loneliness is a unique risk factor for depressive symptoms was determined in 2 population-based studies of middle-aged to older adults, and the possible causal influences between loneliness and depressive symptoms were examined longitudinally in the 2nd study. In Study 1, a nationally representative sample of persons aged 54 and older completed a telephone interview as part of a study of health and aging. Higher levels of loneliness were associated with more depressive symptoms, net of the effects of age, gender, ethnicity, education, income, marital status, social support, and perceived stress. In Study 2, detailed measures of loneliness, social support, perceived stress, hostility, and demographic characteristics were collected over a 3-year period from a population-based sample of adults ages 50-67 years from Cook County, Illinois. Loneliness was again associated with more depressive symptoms, net of demographic covariates, marital status, social support, hostility, and perceived stress. Latent variable growth models revealed reciprocal influences over time between loneliness and depressive symptomatology. These data suggest that loneliness and depressive symptomatology can act in a synergistic effect to diminish well-being in middle-aged and older adults. Copyright 2006 by the American Psychological Association.","author":[{"dropping-particle":"","family":"Cacioppo","given":"John T.","non-dropping-particle":"","parse-names":false,"suffix":""},{"dropping-particle":"","family":"Hughes","given":"Mary Elizabeth","non-dropping-particle":"","parse-names":false,"suffix":""},{"dropping-particle":"","family":"Waite","given":"Linda J.","non-dropping-particle":"","parse-names":false,"suffix":""},{"dropping-particle":"","family":"Hawkley","given":"Louise C.","non-dropping-particle":"","parse-names":false,"suffix":""},{"dropping-particle":"","family":"Thisted","given":"Ronald A.","non-dropping-particle":"","parse-names":false,"suffix":""}],"container-title":"Psychology and Aging","id":"ITEM-1","issue":"1","issued":{"date-parts":[["2006"]]},"page":"140-151","title":"Loneliness as a specific risk factor for depressive symptoms: Cross-sectional and longitudinal analyses","type":"article-journal","volume":"21"},"uris":["http://www.mendeley.com/documents/?uuid=c934501f-30e9-44fc-b956-5715ff514253"]}],"mendeley":{"formattedCitation":"(Cacioppo et al., 2006)","manualFormatting":"Cacioppo et al. (2006)","plainTextFormattedCitation":"(Cacioppo et al., 2006)","previouslyFormattedCitation":"(Cacioppo et al., 2006)"},"properties":{"noteIndex":0},"schema":"https://github.com/citation-style-language/schema/raw/master/csl-citation.json"}</w:instrText>
      </w:r>
      <w:r w:rsidRPr="00AD597A">
        <w:rPr>
          <w:sz w:val="24"/>
          <w:szCs w:val="24"/>
        </w:rPr>
        <w:fldChar w:fldCharType="separate"/>
      </w:r>
      <w:r w:rsidRPr="00AD597A">
        <w:rPr>
          <w:noProof/>
          <w:sz w:val="24"/>
          <w:szCs w:val="24"/>
        </w:rPr>
        <w:t xml:space="preserve">Cacioppo </w:t>
      </w:r>
      <w:r w:rsidRPr="00AD597A">
        <w:rPr>
          <w:i/>
          <w:noProof/>
          <w:sz w:val="24"/>
          <w:szCs w:val="24"/>
        </w:rPr>
        <w:t>et al.</w:t>
      </w:r>
      <w:r w:rsidRPr="00AD597A">
        <w:rPr>
          <w:noProof/>
          <w:sz w:val="24"/>
          <w:szCs w:val="24"/>
        </w:rPr>
        <w:t xml:space="preserve"> </w:t>
      </w:r>
      <w:r w:rsidR="00E92713">
        <w:rPr>
          <w:noProof/>
          <w:sz w:val="24"/>
          <w:szCs w:val="24"/>
        </w:rPr>
        <w:t>(</w:t>
      </w:r>
      <w:r w:rsidRPr="00AD597A">
        <w:rPr>
          <w:noProof/>
          <w:sz w:val="24"/>
          <w:szCs w:val="24"/>
        </w:rPr>
        <w:t>2006)</w:t>
      </w:r>
      <w:r w:rsidRPr="00AD597A">
        <w:rPr>
          <w:sz w:val="24"/>
          <w:szCs w:val="24"/>
        </w:rPr>
        <w:fldChar w:fldCharType="end"/>
      </w:r>
      <w:r w:rsidRPr="00AD597A">
        <w:rPr>
          <w:sz w:val="24"/>
          <w:szCs w:val="24"/>
        </w:rPr>
        <w:t xml:space="preserve"> among middle-aged and older adults in the US established a robust link between loneliness and depression, evident in both cross-sectional and longitudinal data. Critically, this research highlighted a reciprocal relationship: loneliness exacerbates depressive symptoms, and conversely, depressive symptoms intensify feelings of loneliness, creating a detrimental cycle that undermines well-being. This finding has been corroborated by a substantial body of international research. Meta-analyses and systematic reviews consistently identify loneliness as a significant contributing factor to depression </w:t>
      </w:r>
      <w:r w:rsidR="00320827" w:rsidRPr="00AD597A">
        <w:rPr>
          <w:sz w:val="24"/>
          <w:szCs w:val="24"/>
        </w:rPr>
        <w:fldChar w:fldCharType="begin" w:fldLock="1"/>
      </w:r>
      <w:r w:rsidR="004648C4">
        <w:rPr>
          <w:sz w:val="24"/>
          <w:szCs w:val="24"/>
        </w:rPr>
        <w:instrText>ADDIN CSL_CITATION {"citationItems":[{"id":"ITEM-1","itemData":{"DOI":"10.1177/0020764018776349","ISBN":"0020764018776","ISSN":"17412854","PMID":"29792097","abstract":"Background: Negative emotions, which have a common, chronic and recurrent structure, play a vital role in the development and maintenance of psychopathology. In this study, loneliness as a negative emotion was considered to be a predisposing factor in depression. Aim: The aim of this meta-analysis is to determine the effect of loneliness on depression. Method: Initially, a literature scan was performed and all related literature was pooled together (n = 531). Based on scales determined by the researchers, it was decided to include 88 studies in the analysis. This study obtained a sampling group of 40,068 individuals. Results: The results of using a random effects model for analysis showed that loneliness had a moderately significant effect on depression. None of the variables of study sampling group, type of publication and publication year were found to be moderator variables. Conclusion: According to the results of the research, loneliness may be said to be a significant variable affecting depression. The findings obtained are discussed in light of the literature.","author":[{"dropping-particle":"","family":"Erzen","given":"Evren","non-dropping-particle":"","parse-names":false,"suffix":""},{"dropping-particle":"","family":"Çikrikci","given":"Özkan","non-dropping-particle":"","parse-names":false,"suffix":""}],"container-title":"International Journal of Social Psychiatry","id":"ITEM-1","issue":"5","issued":{"date-parts":[["2018"]]},"page":"427-435","title":"The effect of loneliness on depression: A meta-analysis","type":"article-journal","volume":"64"},"uris":["http://www.mendeley.com/documents/?uuid=9b3250b1-c8e4-4683-8ff0-c5701a1c75a7"]},{"id":"ITEM-2","itemData":{"DOI":"10.1186/s12888-018-1736-5","ISBN":"1288801817365","ISSN":"1471244X","PMID":"29843662","abstract":"Background: The adverse effects of loneliness and of poor perceived social support on physical health and mortality are established, but no systematic synthesis is available of their relationship with the outcomes of mental health problems over time. In this systematic review, we aim to examine the evidence on whether loneliness and closely related concepts predict poor outcomes among adults with mental health problems. Methods: We searched six databases and reference lists for longitudinal quantitative studies that examined the relationship between baseline measures of loneliness and poor perceived social support and outcomes at follow up. Thirty-four eligible papers were retrieved. Due to heterogeneity among included studies in clinical populations, predictor measures and outcomes, a narrative synthesis was conducted. Results: We found substantial evidence from prospective studies that people with depression who perceive their social support as poorer have worse outcomes in terms of symptoms, recovery and social functioning. Loneliness has been investigated much less than perceived social support, but there is some evidence that greater loneliness predicts poorer depression outcome. There is also some preliminary evidence of associations between perceived social support and outcomes in schizophrenia, bipolar disorder and anxiety disorders. Conclusions: Loneliness and quality of social support in depression are potential targets for development and testing of interventions, while for other conditions further evidence is needed regarding relationships with outcomes.","author":[{"dropping-particle":"","family":"Wang","given":"Jingyi","non-dropping-particle":"","parse-names":false,"suffix":""},{"dropping-particle":"","family":"Mann","given":"Farhana","non-dropping-particle":"","parse-names":false,"suffix":""},{"dropping-particle":"","family":"Lloyd-Evans","given":"Brynmor","non-dropping-particle":"","parse-names":false,"suffix":""},{"dropping-particle":"","family":"Ma","given":"Ruimin","non-dropping-particle":"","parse-names":false,"suffix":""},{"dropping-particle":"","family":"Johnson","given":"Sonia","non-dropping-particle":"","parse-names":false,"suffix":""}],"container-title":"BMC Psychiatry","id":"ITEM-2","issue":"1","issued":{"date-parts":[["2018"]]},"page":"1-16","publisher":"BMC Psychiatry","title":"Associations between loneliness and perceived social support and outcomes of mental health problems: A systematic review","type":"article-journal","volume":"18"},"uris":["http://www.mendeley.com/documents/?uuid=de9a9d53-aa3c-42d2-8f79-3f478e4a70a5"]},{"id":"ITEM-3","itemData":{"DOI":"10.4137/hacce.s35890","abstract":"Loneliness is a significant but neglected circumstance in which many individuals, particularly the elderly, find themselves. This review aims to discuss the various effects that loneliness has on mental and physical health and the potential interventions that may alleviate this problem. This review used the PubMed, ScienceDirect, and WHO IRIS databases to search for relevant studies on the topic, mainly focusing on longitudinal studies due to the difficulty in distinguishing the causality between loneliness and its associated factors. In collating these studies, loneliness can be shown to be a significant independent risk factor for a number of conditions such as poor health behaviors (eg, smoking and alcohol consumption), physical health problems (eg, hypertension and motor decline), and psychiatric conditions (eg, depression and cognitive impairment). The interventions discussed, both low tech and high tech, have the potential to benefit patients at both an individual level and a population-wide level.","author":[{"dropping-particle":"","family":"Crewdson","given":"J. A","non-dropping-particle":"","parse-names":false,"suffix":""}],"container-title":"Healthy Aging &amp; Clinical Care in the Elderly","id":"ITEM-3","issued":{"date-parts":[["2016"]]},"page":"1-8","title":"The Effect of Loneliness in the Elderly Population: A Review","type":"article-journal","volume":"8"},"uris":["http://www.mendeley.com/documents/?uuid=50bf29f3-2043-40b9-bdef-0e6ebd8fd256"]},{"id":"ITEM-4","itemData":{"DOI":"10.1017/S1041610221000399","ISSN":"1741203X","PMID":"33849675","abstract":"Objective: Loneliness and the onset of depression in old age are growing problems related to the greater life expectancy nowadays. This review investigated the longitudinal association between loneliness and depressive symptoms in the elderly. Design: A comprehensive search was conducted using three databases (Scopus, PsycInfo, and PubMed) combing for empirical studies published up until July 2020. A total of 4.549 abstracts and 221 full-text articles were assessed. Three authors independently reviewed titles and abstracts; disagreements were resolved by consensus. Results: Ten studies were included in the final review. We identified two categories of studies based on the outcome considered in each article: 1) the longitudinal effect of loneliness on depressive symptoms and 2) the clinical course of depression and its association with loneliness. All the articles reported a significant and positive association between loneliness and depressive symptoms in their longitudinal design research, ranging from an odds ratio of 0.41 to 17.76. The heterogeneity regarding the effect size in the analyses can be explained by the multifactorial design implemented by most of the studies included. Conclusions: Future research should investigate the moderators' role and how it may influence the longitudinal association between loneliness and depression over the years.","author":[{"dropping-particle":"","family":"Lambert Van As","given":"Barbara Adriana","non-dropping-particle":"","parse-names":false,"suffix":""},{"dropping-particle":"","family":"Imbimbo","given":"Enrico","non-dropping-particle":"","parse-names":false,"suffix":""},{"dropping-particle":"","family":"Franceschi","given":"Angela","non-dropping-particle":"","parse-names":false,"suffix":""},{"dropping-particle":"","family":"Menesini","given":"Ersilia","non-dropping-particle":"","parse-names":false,"suffix":""},{"dropping-particle":"","family":"Nocentini","given":"Annalaura","non-dropping-particle":"","parse-names":false,"suffix":""}],"container-title":"International Psychogeriatrics","id":"ITEM-4","issued":{"date-parts":[["2022"]]},"page":"657-669","title":"The longitudinal association between loneliness and depressive symptoms in the elderly: a systematic review","type":"article-journal","volume":"34"},"uris":["http://www.mendeley.com/documents/?uuid=7ae8625f-8bea-4ca6-a583-04f14bf2acb7"]},{"id":"ITEM-5","itemData":{"DOI":"10.1016/j.psychres.2020.113514","ISSN":"18727123","PMID":"33130511","abstract":"The primary objective was to evaluate the comparative effects of loneliness on multiple distinct health outcomes. The literature was qualitatively reviewed to identify loneliness risk factors, explore mechanisms, and discuss potential evidence-based interventions for targeting loneliness. 114 identified studies were systematically reviewed and analyzed to examine for associations between loneliness (as measured by the UCLA Loneliness or de Jong Gierveld Loneliness Scales) and one or more health outcome(s). Health outcomes were broadly defined to include measures of mental health (i.e., depression, anxiety, suicidality, general mental health), general health (i.e., overall self-rated health), well-being (i.e., quality of life, life satisfaction), physical health (i.e., functional disability), sleep, and cognition. Loneliness had medium to large effects on all health outcomes, with the largest effects on mental health and overall well-being; however, this result may have been confounded by the breadth of studies exploring the association between loneliness and mental health, as opposed to other health outcomes. A significant effect of gender on the association between loneliness and cognition (i.e., more pronounced in studies with a greater proportion of males) was also observed. The adequate training of health care providers to perceive and respond to loneliness among patients should be prioritized.","author":[{"dropping-particle":"","family":"Park","given":"Caroline","non-dropping-particle":"","parse-names":false,"suffix":""},{"dropping-particle":"","family":"Majeed","given":"Amna","non-dropping-particle":"","parse-names":false,"suffix":""},{"dropping-particle":"","family":"Gill","given":"Hartej","non-dropping-particle":"","parse-names":false,"suffix":""},{"dropping-particle":"","family":"Tamura","given":"Jocelyn","non-dropping-particle":"","parse-names":false,"suffix":""},{"dropping-particle":"","family":"Ho","given":"Roger C.","non-dropping-particle":"","parse-names":false,"suffix":""},{"dropping-particle":"","family":"Mansur","given":"Rodrigo B.","non-dropping-particle":"","parse-names":false,"suffix":""},{"dropping-particle":"","family":"Nasri","given":"Flora","non-dropping-particle":"","parse-names":false,"suffix":""},{"dropping-particle":"","family":"Lee","given":"Yena","non-dropping-particle":"","parse-names":false,"suffix":""},{"dropping-particle":"","family":"Rosenblat","given":"Joshua D.","non-dropping-particle":"","parse-names":false,"suffix":""},{"dropping-particle":"","family":"Wong","given":"Elizabeth","non-dropping-particle":"","parse-names":false,"suffix":""},{"dropping-particle":"","family":"McIntyre","given":"Roger S.","non-dropping-particle":"","parse-names":false,"suffix":""}],"container-title":"Psychiatry Research","id":"ITEM-5","issue":"January","issued":{"date-parts":[["2020"]]},"page":"113514","publisher":"Elsevier B.V.","title":"The Effect of Loneliness on Distinct Health Outcomes: A Comprehensive Review and Meta-Analysis","type":"article-journal","volume":"294"},"uris":["http://www.mendeley.com/documents/?uuid=3b4616d9-42f5-4c82-bf44-2918cb86a0ce"]}],"mendeley":{"formattedCitation":"(Crewdson, 2016; Erzen and Çikrikci, 2018; Lambert Van As et al., 2022; Park et al., 2020; Wang et al., 2018)","plainTextFormattedCitation":"(Crewdson, 2016; Erzen and Çikrikci, 2018; Lambert Van As et al., 2022; Park et al., 2020; Wang et al., 2018)","previouslyFormattedCitation":"(Crewdson, 2016; Erzen and Çikrikci, 2018; Lambert Van As et al., 2022; Park et al., 2020; Wang et al., 2018)"},"properties":{"noteIndex":0},"schema":"https://github.com/citation-style-language/schema/raw/master/csl-citation.json"}</w:instrText>
      </w:r>
      <w:r w:rsidR="00320827" w:rsidRPr="00AD597A">
        <w:rPr>
          <w:sz w:val="24"/>
          <w:szCs w:val="24"/>
        </w:rPr>
        <w:fldChar w:fldCharType="separate"/>
      </w:r>
      <w:r w:rsidR="000443B6" w:rsidRPr="00A066FF">
        <w:rPr>
          <w:noProof/>
          <w:sz w:val="24"/>
          <w:szCs w:val="24"/>
        </w:rPr>
        <w:t>(Crewdson, 2016; Erzen and Çikrikci, 2018; Lambert Van As et al., 2022; Park et al., 2020; Wang et al., 2018)</w:t>
      </w:r>
      <w:r w:rsidR="00320827" w:rsidRPr="00AD597A">
        <w:rPr>
          <w:sz w:val="24"/>
          <w:szCs w:val="24"/>
        </w:rPr>
        <w:fldChar w:fldCharType="end"/>
      </w:r>
      <w:r w:rsidR="00320827" w:rsidRPr="00AD597A">
        <w:rPr>
          <w:sz w:val="24"/>
          <w:szCs w:val="24"/>
        </w:rPr>
        <w:t xml:space="preserve">. </w:t>
      </w:r>
      <w:r w:rsidRPr="00AD597A">
        <w:rPr>
          <w:sz w:val="24"/>
          <w:szCs w:val="24"/>
        </w:rPr>
        <w:t xml:space="preserve">Furthermore, a growing body of evidence connects loneliness and a lack of social connectedness to diminished well-being and poorer mental and physical health outcomes </w:t>
      </w:r>
      <w:r w:rsidR="00C50362" w:rsidRPr="00AD597A">
        <w:rPr>
          <w:sz w:val="24"/>
          <w:szCs w:val="24"/>
        </w:rPr>
        <w:fldChar w:fldCharType="begin" w:fldLock="1"/>
      </w:r>
      <w:r w:rsidR="004648C4">
        <w:rPr>
          <w:sz w:val="24"/>
          <w:szCs w:val="24"/>
        </w:rPr>
        <w:instrText>ADDIN CSL_CITATION {"citationItems":[{"id":"ITEM-1","itemData":{"DOI":"10.1016/j.psychres.2020.113514","ISSN":"18727123","PMID":"33130511","abstract":"The primary objective was to evaluate the comparative effects of loneliness on multiple distinct health outcomes. The literature was qualitatively reviewed to identify loneliness risk factors, explore mechanisms, and discuss potential evidence-based interventions for targeting loneliness. 114 identified studies were systematically reviewed and analyzed to examine for associations between loneliness (as measured by the UCLA Loneliness or de Jong Gierveld Loneliness Scales) and one or more health outcome(s). Health outcomes were broadly defined to include measures of mental health (i.e., depression, anxiety, suicidality, general mental health), general health (i.e., overall self-rated health), well-being (i.e., quality of life, life satisfaction), physical health (i.e., functional disability), sleep, and cognition. Loneliness had medium to large effects on all health outcomes, with the largest effects on mental health and overall well-being; however, this result may have been confounded by the breadth of studies exploring the association between loneliness and mental health, as opposed to other health outcomes. A significant effect of gender on the association between loneliness and cognition (i.e., more pronounced in studies with a greater proportion of males) was also observed. The adequate training of health care providers to perceive and respond to loneliness among patients should be prioritized.","author":[{"dropping-particle":"","family":"Park","given":"Caroline","non-dropping-particle":"","parse-names":false,"suffix":""},{"dropping-particle":"","family":"Majeed","given":"Amna","non-dropping-particle":"","parse-names":false,"suffix":""},{"dropping-particle":"","family":"Gill","given":"Hartej","non-dropping-particle":"","parse-names":false,"suffix":""},{"dropping-particle":"","family":"Tamura","given":"Jocelyn","non-dropping-particle":"","parse-names":false,"suffix":""},{"dropping-particle":"","family":"Ho","given":"Roger C.","non-dropping-particle":"","parse-names":false,"suffix":""},{"dropping-particle":"","family":"Mansur","given":"Rodrigo B.","non-dropping-particle":"","parse-names":false,"suffix":""},{"dropping-particle":"","family":"Nasri","given":"Flora","non-dropping-particle":"","parse-names":false,"suffix":""},{"dropping-particle":"","family":"Lee","given":"Yena","non-dropping-particle":"","parse-names":false,"suffix":""},{"dropping-particle":"","family":"Rosenblat","given":"Joshua D.","non-dropping-particle":"","parse-names":false,"suffix":""},{"dropping-particle":"","family":"Wong","given":"Elizabeth","non-dropping-particle":"","parse-names":false,"suffix":""},{"dropping-particle":"","family":"McIntyre","given":"Roger S.","non-dropping-particle":"","parse-names":false,"suffix":""}],"container-title":"Psychiatry Research","id":"ITEM-1","issue":"January","issued":{"date-parts":[["2020"]]},"page":"113514","publisher":"Elsevier B.V.","title":"The Effect of Loneliness on Distinct Health Outcomes: A Comprehensive Review and Meta-Analysis","type":"article-journal","volume":"294"},"uris":["http://www.mendeley.com/documents/?uuid=3b4616d9-42f5-4c82-bf44-2918cb86a0ce"]}],"mendeley":{"formattedCitation":"(Park et al., 2020)","plainTextFormattedCitation":"(Park et al., 2020)","previouslyFormattedCitation":"(Park et al., 2020)"},"properties":{"noteIndex":0},"schema":"https://github.com/citation-style-language/schema/raw/master/csl-citation.json"}</w:instrText>
      </w:r>
      <w:r w:rsidR="00C50362" w:rsidRPr="00AD597A">
        <w:rPr>
          <w:sz w:val="24"/>
          <w:szCs w:val="24"/>
        </w:rPr>
        <w:fldChar w:fldCharType="separate"/>
      </w:r>
      <w:r w:rsidR="00C50362" w:rsidRPr="00A066FF">
        <w:rPr>
          <w:noProof/>
          <w:sz w:val="24"/>
          <w:szCs w:val="24"/>
        </w:rPr>
        <w:t>(Park et al., 2020)</w:t>
      </w:r>
      <w:r w:rsidR="00C50362" w:rsidRPr="00AD597A">
        <w:rPr>
          <w:sz w:val="24"/>
          <w:szCs w:val="24"/>
        </w:rPr>
        <w:fldChar w:fldCharType="end"/>
      </w:r>
      <w:r w:rsidR="00C50362" w:rsidRPr="00AD597A">
        <w:rPr>
          <w:sz w:val="24"/>
          <w:szCs w:val="24"/>
        </w:rPr>
        <w:t>.</w:t>
      </w:r>
    </w:p>
    <w:p w14:paraId="50F203AD" w14:textId="59E4AEBB" w:rsidR="000D5169" w:rsidRPr="00AD597A" w:rsidRDefault="000D5169" w:rsidP="007F1CF3">
      <w:pPr>
        <w:spacing w:line="360" w:lineRule="auto"/>
        <w:rPr>
          <w:sz w:val="24"/>
          <w:szCs w:val="24"/>
        </w:rPr>
      </w:pPr>
      <w:r w:rsidRPr="00AD597A">
        <w:rPr>
          <w:sz w:val="24"/>
          <w:szCs w:val="24"/>
        </w:rPr>
        <w:t xml:space="preserve">The COVID-19 pandemic provided a stark illustration of the impact of loneliness on mental health. Numerous studies conducted during this period revealed that individuals experiencing loneliness were particularly vulnerable to psychological distress </w:t>
      </w:r>
      <w:r w:rsidR="00CE24CA" w:rsidRPr="00AD597A">
        <w:rPr>
          <w:sz w:val="24"/>
          <w:szCs w:val="24"/>
        </w:rPr>
        <w:fldChar w:fldCharType="begin" w:fldLock="1"/>
      </w:r>
      <w:r w:rsidR="004648C4">
        <w:rPr>
          <w:sz w:val="24"/>
          <w:szCs w:val="24"/>
        </w:rPr>
        <w:instrText>ADDIN CSL_CITATION {"citationItems":[{"id":"ITEM-1","itemData":{"DOI":"10.3390/jcm10194596","ISSN":"20770383","abstract":"Background: The COVID</w:instrText>
      </w:r>
      <w:r w:rsidR="004648C4">
        <w:rPr>
          <w:rFonts w:ascii="Cambria Math" w:hAnsi="Cambria Math" w:cs="Cambria Math"/>
          <w:sz w:val="24"/>
          <w:szCs w:val="24"/>
        </w:rPr>
        <w:instrText>‐</w:instrText>
      </w:r>
      <w:r w:rsidR="004648C4">
        <w:rPr>
          <w:sz w:val="24"/>
          <w:szCs w:val="24"/>
        </w:rPr>
        <w:instrText>19 crisis poses global mental health and global economy challenges. However, there is a lack of longitudinal research investigating whether financial instability and social disruption may increase the risk of developing mental health problems over time that may potentially outlast the pandemic. Methods: We conducted an online survey for members of the general population (n = 2703) in Germany during the twelve months spanning from April 2020 to March 2021. We investigated the development of COVID</w:instrText>
      </w:r>
      <w:r w:rsidR="004648C4">
        <w:rPr>
          <w:rFonts w:ascii="Cambria Math" w:hAnsi="Cambria Math" w:cs="Cambria Math"/>
          <w:sz w:val="24"/>
          <w:szCs w:val="24"/>
        </w:rPr>
        <w:instrText>‐</w:instrText>
      </w:r>
      <w:r w:rsidR="004648C4">
        <w:rPr>
          <w:sz w:val="24"/>
          <w:szCs w:val="24"/>
        </w:rPr>
        <w:instrText>19 related psychological distress, the number of unemployed people, federal government debt, income distribution, and loneliness over the time period. Results: Over a period of twelve months, 53.6% of respondents in Germany reported experiencing psychological distress, varying from mild levels, 34.2%, to severe levels, 19.4%, of distress. High federal government debt, high incident COVID</w:instrText>
      </w:r>
      <w:r w:rsidR="004648C4">
        <w:rPr>
          <w:rFonts w:ascii="Cambria Math" w:hAnsi="Cambria Math" w:cs="Cambria Math"/>
          <w:sz w:val="24"/>
          <w:szCs w:val="24"/>
        </w:rPr>
        <w:instrText>‐</w:instrText>
      </w:r>
      <w:r w:rsidR="004648C4">
        <w:rPr>
          <w:sz w:val="24"/>
          <w:szCs w:val="24"/>
        </w:rPr>
        <w:instrText>19 cases, low incomes, and the prevalence of loneliness were found to be associated with increased long</w:instrText>
      </w:r>
      <w:r w:rsidR="004648C4">
        <w:rPr>
          <w:rFonts w:ascii="Cambria Math" w:hAnsi="Cambria Math" w:cs="Cambria Math"/>
          <w:sz w:val="24"/>
          <w:szCs w:val="24"/>
        </w:rPr>
        <w:instrText>‐</w:instrText>
      </w:r>
      <w:r w:rsidR="004648C4">
        <w:rPr>
          <w:sz w:val="24"/>
          <w:szCs w:val="24"/>
        </w:rPr>
        <w:instrText>term mental health problems. Psychological distress scores were most strongly increased in female and young respondents as well as those who reported fewer years of education, low income, and higher loneliness. Conclusions: Our study highlights factors that have a long</w:instrText>
      </w:r>
      <w:r w:rsidR="004648C4">
        <w:rPr>
          <w:rFonts w:ascii="Cambria Math" w:hAnsi="Cambria Math" w:cs="Cambria Math"/>
          <w:sz w:val="24"/>
          <w:szCs w:val="24"/>
        </w:rPr>
        <w:instrText>‐</w:instrText>
      </w:r>
      <w:r w:rsidR="004648C4">
        <w:rPr>
          <w:sz w:val="24"/>
          <w:szCs w:val="24"/>
        </w:rPr>
        <w:instrText>term impact on mental health amid the COVID</w:instrText>
      </w:r>
      <w:r w:rsidR="004648C4">
        <w:rPr>
          <w:rFonts w:ascii="Cambria Math" w:hAnsi="Cambria Math" w:cs="Cambria Math"/>
          <w:sz w:val="24"/>
          <w:szCs w:val="24"/>
        </w:rPr>
        <w:instrText>‐</w:instrText>
      </w:r>
      <w:r w:rsidR="004648C4">
        <w:rPr>
          <w:sz w:val="24"/>
          <w:szCs w:val="24"/>
        </w:rPr>
        <w:instrText>19 pandemic. We suggest that specific mental</w:instrText>
      </w:r>
      <w:r w:rsidR="004648C4">
        <w:rPr>
          <w:rFonts w:ascii="Cambria Math" w:hAnsi="Cambria Math" w:cs="Cambria Math"/>
          <w:sz w:val="24"/>
          <w:szCs w:val="24"/>
        </w:rPr>
        <w:instrText>‐</w:instrText>
      </w:r>
      <w:r w:rsidR="004648C4">
        <w:rPr>
          <w:sz w:val="24"/>
          <w:szCs w:val="24"/>
        </w:rPr>
        <w:instrText>health services could be offered to support high</w:instrText>
      </w:r>
      <w:r w:rsidR="004648C4">
        <w:rPr>
          <w:rFonts w:ascii="Cambria Math" w:hAnsi="Cambria Math" w:cs="Cambria Math"/>
          <w:sz w:val="24"/>
          <w:szCs w:val="24"/>
        </w:rPr>
        <w:instrText>‐</w:instrText>
      </w:r>
      <w:r w:rsidR="004648C4">
        <w:rPr>
          <w:sz w:val="24"/>
          <w:szCs w:val="24"/>
        </w:rPr>
        <w:instrText>risk groups experiencing financial fragility and loneliness. For purposes of safeguarding their mental health there is a need to monitor and track such risk factors in real time.","author":[{"dropping-particle":"","family":"Liu","given":"Shuyan","non-dropping-particle":"","parse-names":false,"suffix":""},{"dropping-particle":"","family":"Haucke","given":"Matthias N.","non-dropping-particle":"","parse-names":false,"suffix":""},{"dropping-particle":"","family":"Heinzel","given":"Stephan","non-dropping-particle":"","parse-names":false,"suffix":""},{"dropping-particle":"","family":"Heinz","given":"Andreas","non-dropping-particle":"","parse-names":false,"suffix":""}],"container-title":"Journal of Clinical Medicine","id":"ITEM-1","issue":"19","issued":{"date-parts":[["2021"]]},"title":"Long</w:instrText>
      </w:r>
      <w:r w:rsidR="004648C4">
        <w:rPr>
          <w:rFonts w:ascii="Cambria Math" w:hAnsi="Cambria Math" w:cs="Cambria Math"/>
          <w:sz w:val="24"/>
          <w:szCs w:val="24"/>
        </w:rPr>
        <w:instrText>‐</w:instrText>
      </w:r>
      <w:r w:rsidR="004648C4">
        <w:rPr>
          <w:sz w:val="24"/>
          <w:szCs w:val="24"/>
        </w:rPr>
        <w:instrText>term impact of economic downturn and loneliness on psychological distress: Triple crises of covid</w:instrText>
      </w:r>
      <w:r w:rsidR="004648C4">
        <w:rPr>
          <w:rFonts w:ascii="Cambria Math" w:hAnsi="Cambria Math" w:cs="Cambria Math"/>
          <w:sz w:val="24"/>
          <w:szCs w:val="24"/>
        </w:rPr>
        <w:instrText>‐</w:instrText>
      </w:r>
      <w:r w:rsidR="004648C4">
        <w:rPr>
          <w:sz w:val="24"/>
          <w:szCs w:val="24"/>
        </w:rPr>
        <w:instrText>19 pandemic","type":"article-journal","volume":"10"},"uris":["http://www.mendeley.com/documents/?uuid=797a6ef7-ff68-48f9-8360-3f1a169db37d"]},{"id":"ITEM-2","itemData":{"DOI":"10.1332/14786737Y2024D000000014","ISSN":"14786737","author":[{"dropping-particle":"","family":"Palgi","given":"Y.","non-dropping-particle":"","parse-names":false,"suffix":""},{"dropping-particle":"","family":"Shrira","given":"A.","non-dropping-particle":"","parse-names":false,"suffix":""},{"dropping-particle":"","family":"Ring","given":"L.","non-dropping-particle":"","parse-names":false,"suffix":""},{"dropping-particle":"","family":"Bodner","given":"E.","non-dropping-particle":"","parse-names":false,"suffix":""},{"dropping-particle":"","family":"Avidor","given":"S.","non-dropping-particle":"","parse-names":false,"suffix":""},{"dropping-particle":"","family":"Bergman","given":"Y.","non-dropping-particle":"","parse-names":false,"suffix":""},{"dropping-particle":"","family":"Cohen-Fridel","given":"","non-dropping-particle":"","parse-names":false,"suffix":""},{"dropping-particle":"","family":"S., Keisari","given":"S.","non-dropping-particle":"","parse-names":false,"suffix":""},{"dropping-particle":"","family":"Hoffman","given":"Y.","non-dropping-particle":"","parse-names":false,"suffix":""}],"container-title":"Journal of Affective Disorders","id":"ITEM-2","issued":{"date-parts":[["2020"]]},"page":"109-111","title":"The loneliness pandemic: Loneliness and other concomitants of depression, anxiety and their comorbidity during the COVID-19 outbreak.","type":"article-journal"},"uris":["http://www.mendeley.com/documents/?uuid=675818cb-9b90-4052-ab04-921f947aa40e"]},{"id":"ITEM-3","itemData":{"DOI":"10.3389/fpsyg.2020.579181","ISSN":"16641078","abstract":"Background: The COVID-19 pandemic has led governments worldwide to implement unprecedented response strategies. While crucial to limiting the spread of the virus, “social distancing” may lead to severe psychological consequences, especially in lonely individuals. Methods: We used cross-sectional (n = 380) and longitudinal (n = 74) designs to investigate the links between loneliness, anxiety, and depression symptoms (ADS) and COVID-19 risk perception and affective response in young adults who implemented social distancing during the first 2 weeks of the state of epidemic threat in Poland. Results: Loneliness was correlated with ADS and with affective response to COVID-19’s threat to health. However, increased worry about the social isolation and heightened risk perception for financial problems was observed in lonelier individuals. The cross-lagged influence of the initial affective response to COVID-19 on subsequent levels of loneliness was also found. Conclusion: The reciprocal connections between loneliness and COVID-19 response may be of crucial importance for ADS during the COVID-19 crisis.","author":[{"dropping-particle":"","family":"Okruszek","given":"Łukasz","non-dropping-particle":"","parse-names":false,"suffix":""},{"dropping-particle":"","family":"Aniszewska-Stańczuk","given":"Aleksandra","non-dropping-particle":"","parse-names":false,"suffix":""},{"dropping-particle":"","family":"Piejka","given":"Aleksandra","non-dropping-particle":"","parse-names":false,"suffix":""},{"dropping-particle":"","family":"Wiśniewska","given":"Marcelina","non-dropping-particle":"","parse-names":false,"suffix":""},{"dropping-particle":"","family":"Żurek","given":"Karolina","non-dropping-particle":"","parse-names":false,"suffix":""}],"container-title":"Frontiers in Psychology","id":"ITEM-3","issue":"December","issued":{"date-parts":[["2020"]]},"page":"1-11","title":"Safe but Lonely? Loneliness, Anxiety, and Depression Symptoms and COVID-19","type":"article-journal","volume":"11"},"uris":["http://www.mendeley.com/documents/?uuid=97c7fbe3-e2e8-444d-a91b-e73f19e1c626"]}],"mendeley":{"formattedCitation":"(Liu et al., 2021; Okruszek et al., 2020; Palgi et al., 2020)","plainTextFormattedCitation":"(Liu et al., 2021; Okruszek et al., 2020; Palgi et al., 2020)","previouslyFormattedCitation":"(Liu et al., 2021; Okruszek et al., 2020; Palgi et al., 2020)"},"properties":{"noteIndex":0},"schema":"https://github.com/citation-style-language/schema/raw/master/csl-citation.json"}</w:instrText>
      </w:r>
      <w:r w:rsidR="00CE24CA" w:rsidRPr="00AD597A">
        <w:rPr>
          <w:sz w:val="24"/>
          <w:szCs w:val="24"/>
        </w:rPr>
        <w:fldChar w:fldCharType="separate"/>
      </w:r>
      <w:r w:rsidR="000443B6" w:rsidRPr="00A066FF">
        <w:rPr>
          <w:noProof/>
          <w:sz w:val="24"/>
          <w:szCs w:val="24"/>
        </w:rPr>
        <w:t>(Liu et al., 2021; Okruszek et al., 2020; Palgi et al., 2020)</w:t>
      </w:r>
      <w:r w:rsidR="00CE24CA" w:rsidRPr="00AD597A">
        <w:rPr>
          <w:sz w:val="24"/>
          <w:szCs w:val="24"/>
        </w:rPr>
        <w:fldChar w:fldCharType="end"/>
      </w:r>
      <w:r w:rsidR="00CE24CA" w:rsidRPr="00AD597A">
        <w:rPr>
          <w:sz w:val="24"/>
          <w:szCs w:val="24"/>
        </w:rPr>
        <w:t xml:space="preserve">. </w:t>
      </w:r>
      <w:r w:rsidRPr="00AD597A">
        <w:rPr>
          <w:sz w:val="24"/>
          <w:szCs w:val="24"/>
        </w:rPr>
        <w:t xml:space="preserve">This vulnerability was further compounded by socioeconomic factors, with low income exacerbating the negative mental health effects of loneliness </w:t>
      </w:r>
      <w:r w:rsidR="00AC237C" w:rsidRPr="00AD597A">
        <w:rPr>
          <w:sz w:val="24"/>
          <w:szCs w:val="24"/>
        </w:rPr>
        <w:fldChar w:fldCharType="begin" w:fldLock="1"/>
      </w:r>
      <w:r w:rsidR="004648C4">
        <w:rPr>
          <w:sz w:val="24"/>
          <w:szCs w:val="24"/>
        </w:rPr>
        <w:instrText>ADDIN CSL_CITATION {"citationItems":[{"id":"ITEM-1","itemData":{"DOI":"10.3390/jcm10194596","ISSN":"20770383","abstract":"Background: The COVID</w:instrText>
      </w:r>
      <w:r w:rsidR="004648C4">
        <w:rPr>
          <w:rFonts w:ascii="Cambria Math" w:hAnsi="Cambria Math" w:cs="Cambria Math"/>
          <w:sz w:val="24"/>
          <w:szCs w:val="24"/>
        </w:rPr>
        <w:instrText>‐</w:instrText>
      </w:r>
      <w:r w:rsidR="004648C4">
        <w:rPr>
          <w:sz w:val="24"/>
          <w:szCs w:val="24"/>
        </w:rPr>
        <w:instrText>19 crisis poses global mental health and global economy challenges. However, there is a lack of longitudinal research investigating whether financial instability and social disruption may increase the risk of developing mental health problems over time that may potentially outlast the pandemic. Methods: We conducted an online survey for members of the general population (n = 2703) in Germany during the twelve months spanning from April 2020 to March 2021. We investigated the development of COVID</w:instrText>
      </w:r>
      <w:r w:rsidR="004648C4">
        <w:rPr>
          <w:rFonts w:ascii="Cambria Math" w:hAnsi="Cambria Math" w:cs="Cambria Math"/>
          <w:sz w:val="24"/>
          <w:szCs w:val="24"/>
        </w:rPr>
        <w:instrText>‐</w:instrText>
      </w:r>
      <w:r w:rsidR="004648C4">
        <w:rPr>
          <w:sz w:val="24"/>
          <w:szCs w:val="24"/>
        </w:rPr>
        <w:instrText>19 related psychological distress, the number of unemployed people, federal government debt, income distribution, and loneliness over the time period. Results: Over a period of twelve months, 53.6% of respondents in Germany reported experiencing psychological distress, varying from mild levels, 34.2%, to severe levels, 19.4%, of distress. High federal government debt, high incident COVID</w:instrText>
      </w:r>
      <w:r w:rsidR="004648C4">
        <w:rPr>
          <w:rFonts w:ascii="Cambria Math" w:hAnsi="Cambria Math" w:cs="Cambria Math"/>
          <w:sz w:val="24"/>
          <w:szCs w:val="24"/>
        </w:rPr>
        <w:instrText>‐</w:instrText>
      </w:r>
      <w:r w:rsidR="004648C4">
        <w:rPr>
          <w:sz w:val="24"/>
          <w:szCs w:val="24"/>
        </w:rPr>
        <w:instrText>19 cases, low incomes, and the prevalence of loneliness were found to be associated with increased long</w:instrText>
      </w:r>
      <w:r w:rsidR="004648C4">
        <w:rPr>
          <w:rFonts w:ascii="Cambria Math" w:hAnsi="Cambria Math" w:cs="Cambria Math"/>
          <w:sz w:val="24"/>
          <w:szCs w:val="24"/>
        </w:rPr>
        <w:instrText>‐</w:instrText>
      </w:r>
      <w:r w:rsidR="004648C4">
        <w:rPr>
          <w:sz w:val="24"/>
          <w:szCs w:val="24"/>
        </w:rPr>
        <w:instrText>term mental health problems. Psychological distress scores were most strongly increased in female and young respondents as well as those who reported fewer years of education, low income, and higher loneliness. Conclusions: Our study highlights factors that have a long</w:instrText>
      </w:r>
      <w:r w:rsidR="004648C4">
        <w:rPr>
          <w:rFonts w:ascii="Cambria Math" w:hAnsi="Cambria Math" w:cs="Cambria Math"/>
          <w:sz w:val="24"/>
          <w:szCs w:val="24"/>
        </w:rPr>
        <w:instrText>‐</w:instrText>
      </w:r>
      <w:r w:rsidR="004648C4">
        <w:rPr>
          <w:sz w:val="24"/>
          <w:szCs w:val="24"/>
        </w:rPr>
        <w:instrText>term impact on mental health amid the COVID</w:instrText>
      </w:r>
      <w:r w:rsidR="004648C4">
        <w:rPr>
          <w:rFonts w:ascii="Cambria Math" w:hAnsi="Cambria Math" w:cs="Cambria Math"/>
          <w:sz w:val="24"/>
          <w:szCs w:val="24"/>
        </w:rPr>
        <w:instrText>‐</w:instrText>
      </w:r>
      <w:r w:rsidR="004648C4">
        <w:rPr>
          <w:sz w:val="24"/>
          <w:szCs w:val="24"/>
        </w:rPr>
        <w:instrText>19 pandemic. We suggest that specific mental</w:instrText>
      </w:r>
      <w:r w:rsidR="004648C4">
        <w:rPr>
          <w:rFonts w:ascii="Cambria Math" w:hAnsi="Cambria Math" w:cs="Cambria Math"/>
          <w:sz w:val="24"/>
          <w:szCs w:val="24"/>
        </w:rPr>
        <w:instrText>‐</w:instrText>
      </w:r>
      <w:r w:rsidR="004648C4">
        <w:rPr>
          <w:sz w:val="24"/>
          <w:szCs w:val="24"/>
        </w:rPr>
        <w:instrText>health services could be offered to support high</w:instrText>
      </w:r>
      <w:r w:rsidR="004648C4">
        <w:rPr>
          <w:rFonts w:ascii="Cambria Math" w:hAnsi="Cambria Math" w:cs="Cambria Math"/>
          <w:sz w:val="24"/>
          <w:szCs w:val="24"/>
        </w:rPr>
        <w:instrText>‐</w:instrText>
      </w:r>
      <w:r w:rsidR="004648C4">
        <w:rPr>
          <w:sz w:val="24"/>
          <w:szCs w:val="24"/>
        </w:rPr>
        <w:instrText>risk groups experiencing financial fragility and loneliness. For purposes of safeguarding their mental health there is a need to monitor and track such risk factors in real time.","author":[{"dropping-particle":"","family":"Liu","given":"Shuyan","non-dropping-particle":"","parse-names":false,"suffix":""},{"dropping-particle":"","family":"Haucke","given":"Matthias N.","non-dropping-particle":"","parse-names":false,"suffix":""},{"dropping-particle":"","family":"Heinzel","given":"Stephan","non-dropping-particle":"","parse-names":false,"suffix":""},{"dropping-particle":"","family":"Heinz","given":"Andreas","non-dropping-particle":"","parse-names":false,"suffix":""}],"container-title":"Journal of Clinical Medicine","id":"ITEM-1","issue":"19","issued":{"date-parts":[["2021"]]},"title":"Long</w:instrText>
      </w:r>
      <w:r w:rsidR="004648C4">
        <w:rPr>
          <w:rFonts w:ascii="Cambria Math" w:hAnsi="Cambria Math" w:cs="Cambria Math"/>
          <w:sz w:val="24"/>
          <w:szCs w:val="24"/>
        </w:rPr>
        <w:instrText>‐</w:instrText>
      </w:r>
      <w:r w:rsidR="004648C4">
        <w:rPr>
          <w:sz w:val="24"/>
          <w:szCs w:val="24"/>
        </w:rPr>
        <w:instrText>term impact of economic downturn and loneliness on psychological distress: Triple crises of covid</w:instrText>
      </w:r>
      <w:r w:rsidR="004648C4">
        <w:rPr>
          <w:rFonts w:ascii="Cambria Math" w:hAnsi="Cambria Math" w:cs="Cambria Math"/>
          <w:sz w:val="24"/>
          <w:szCs w:val="24"/>
        </w:rPr>
        <w:instrText>‐</w:instrText>
      </w:r>
      <w:r w:rsidR="004648C4">
        <w:rPr>
          <w:sz w:val="24"/>
          <w:szCs w:val="24"/>
        </w:rPr>
        <w:instrText>19 pandemic","type":"article-journal","volume":"10"},"uris":["http://www.mendeley.com/documents/?uuid=797a6ef7-ff68-48f9-8360-3f1a169db37d"]}],"mendeley":{"formattedCitation":"(Liu et al., 2021)","plainTextFormattedCitation":"(Liu et al., 2021)","previouslyFormattedCitation":"(Liu et al., 2021)"},"properties":{"noteIndex":0},"schema":"https://github.com/citation-style-language/schema/raw/master/csl-citation.json"}</w:instrText>
      </w:r>
      <w:r w:rsidR="00AC237C" w:rsidRPr="00AD597A">
        <w:rPr>
          <w:sz w:val="24"/>
          <w:szCs w:val="24"/>
        </w:rPr>
        <w:fldChar w:fldCharType="separate"/>
      </w:r>
      <w:r w:rsidR="00AC237C" w:rsidRPr="00A066FF">
        <w:rPr>
          <w:noProof/>
          <w:sz w:val="24"/>
          <w:szCs w:val="24"/>
        </w:rPr>
        <w:t>(Liu et al., 2021)</w:t>
      </w:r>
      <w:r w:rsidR="00AC237C" w:rsidRPr="00AD597A">
        <w:rPr>
          <w:sz w:val="24"/>
          <w:szCs w:val="24"/>
        </w:rPr>
        <w:fldChar w:fldCharType="end"/>
      </w:r>
      <w:r w:rsidR="00AC237C" w:rsidRPr="00AD597A">
        <w:rPr>
          <w:sz w:val="24"/>
          <w:szCs w:val="24"/>
        </w:rPr>
        <w:t>.</w:t>
      </w:r>
    </w:p>
    <w:p w14:paraId="6F83F044" w14:textId="6C58161C" w:rsidR="000D5169" w:rsidRPr="00AD597A" w:rsidRDefault="000D5169" w:rsidP="007F1CF3">
      <w:pPr>
        <w:spacing w:line="360" w:lineRule="auto"/>
        <w:rPr>
          <w:sz w:val="24"/>
          <w:szCs w:val="24"/>
        </w:rPr>
      </w:pPr>
      <w:r w:rsidRPr="00AD597A">
        <w:rPr>
          <w:sz w:val="24"/>
          <w:szCs w:val="24"/>
        </w:rPr>
        <w:t xml:space="preserve">A recent study by </w:t>
      </w:r>
      <w:r w:rsidR="007F1CF3" w:rsidRPr="00AD597A">
        <w:rPr>
          <w:sz w:val="24"/>
          <w:szCs w:val="24"/>
        </w:rPr>
        <w:fldChar w:fldCharType="begin" w:fldLock="1"/>
      </w:r>
      <w:r w:rsidR="004648C4">
        <w:rPr>
          <w:sz w:val="24"/>
          <w:szCs w:val="24"/>
        </w:rPr>
        <w:instrText>ADDIN CSL_CITATION {"citationItems":[{"id":"ITEM-1","itemData":{"DOI":"10.1016/j.ssmph.2023.101459","ISSN":"23528273","abstract":"The detrimental effects of loneliness and social isolation on health and well-being outcomes are well documented. In response, governments, corporations, and community-based organizations have begun leveraging tools to create interventions and policies aimed at reducing loneliness and social isolation at scale. However, these efforts are frequently hampered by a key knowledge gap: when attempting to improve specific health and well-being outcomes, decision-makers are often unsure whether to target loneliness, social isolation, or both. Filling this knowledge gap will inform the development and refinement of effective interventions. Using data from the Health and Retirement Study (13,752 participants (59% women and 41% men, mean [SD] age = 67 [10] years)), we examined how changes in loneliness and social isolation over a 4-year follow-up period (from t0:2008/2010 to t1:2012/2014) were associated with 32 indicators of physical-, behavioral-, and psychosocial-health outcomes 4-years later (t2:2016/2018). We used multiple logistic-, linear-, and generalized-linear regression models, and adjusted for sociodemographic, personality traits, pre-baseline levels of both exposures (loneliness and social isolation), and all outcomes (t0:2008/2010). We incorporated data from all participants into the overall estimate, regardless of whether their levels of loneliness and social isolation changed from the pre-baseline to baseline waves. After adjusting for a wide range of covariates, we observed that both loneliness and social isolation were associated with several physical health outcomes and health behaviors. However, social isolation was more predictive of mortality risk and loneliness was a stronger predictor of psychological outcomes. Loneliness and social isolation have independent effects on various health and well-being outcomes and thus constitute distinct targets for interventions aimed at improving population health and well-being.","author":[{"dropping-particle":"","family":"Hong","given":"Joanna H.","non-dropping-particle":"","parse-names":false,"suffix":""},{"dropping-particle":"","family":"Nakamura","given":"Julia S.","non-dropping-particle":"","parse-names":false,"suffix":""},{"dropping-particle":"","family":"Berkman","given":"Lisa F.","non-dropping-particle":"","parse-names":false,"suffix":""},{"dropping-particle":"","family":"Chen","given":"Frances S.","non-dropping-particle":"","parse-names":false,"suffix":""},{"dropping-particle":"","family":"Shiba","given":"Koichiro","non-dropping-particle":"","parse-names":false,"suffix":""},{"dropping-particle":"","family":"Chen","given":"Ying","non-dropping-particle":"","parse-names":false,"suffix":""},{"dropping-particle":"","family":"Kim","given":"Eric S.","non-dropping-particle":"","parse-names":false,"suffix":""},{"dropping-particle":"","family":"VanderWeele","given":"Tyler J.","non-dropping-particle":"","parse-names":false,"suffix":""}],"container-title":"SSM - Population Health","id":"ITEM-1","issue":"June","issued":{"date-parts":[["2023"]]},"page":"101459","publisher":"Elsevier Ltd","title":"Are loneliness and social isolation equal threats to health and well-being? An outcome-wide longitudinal approach","type":"article-journal","volume":"23"},"uris":["http://www.mendeley.com/documents/?uuid=1b14e26d-e965-4aae-96c5-8e1a6ea0d55c"]}],"mendeley":{"formattedCitation":"(Hong et al., 2023)","manualFormatting":"Hong et al. (2023)","plainTextFormattedCitation":"(Hong et al., 2023)","previouslyFormattedCitation":"(Hong et al., 2023)"},"properties":{"noteIndex":0},"schema":"https://github.com/citation-style-language/schema/raw/master/csl-citation.json"}</w:instrText>
      </w:r>
      <w:r w:rsidR="007F1CF3" w:rsidRPr="00AD597A">
        <w:rPr>
          <w:sz w:val="24"/>
          <w:szCs w:val="24"/>
        </w:rPr>
        <w:fldChar w:fldCharType="separate"/>
      </w:r>
      <w:r w:rsidR="007F1CF3" w:rsidRPr="00AD597A">
        <w:rPr>
          <w:noProof/>
          <w:sz w:val="24"/>
          <w:szCs w:val="24"/>
        </w:rPr>
        <w:t xml:space="preserve">Hong </w:t>
      </w:r>
      <w:r w:rsidR="007F1CF3" w:rsidRPr="00AD597A">
        <w:rPr>
          <w:i/>
          <w:noProof/>
          <w:sz w:val="24"/>
          <w:szCs w:val="24"/>
        </w:rPr>
        <w:t>et al.</w:t>
      </w:r>
      <w:r w:rsidR="007F1CF3" w:rsidRPr="00AD597A">
        <w:rPr>
          <w:noProof/>
          <w:sz w:val="24"/>
          <w:szCs w:val="24"/>
        </w:rPr>
        <w:t xml:space="preserve"> (2023)</w:t>
      </w:r>
      <w:r w:rsidR="007F1CF3" w:rsidRPr="00AD597A">
        <w:rPr>
          <w:sz w:val="24"/>
          <w:szCs w:val="24"/>
        </w:rPr>
        <w:fldChar w:fldCharType="end"/>
      </w:r>
      <w:r w:rsidR="007F1CF3" w:rsidRPr="00AD597A">
        <w:rPr>
          <w:sz w:val="24"/>
          <w:szCs w:val="24"/>
        </w:rPr>
        <w:t xml:space="preserve"> </w:t>
      </w:r>
      <w:r w:rsidRPr="00AD597A">
        <w:rPr>
          <w:sz w:val="24"/>
          <w:szCs w:val="24"/>
        </w:rPr>
        <w:t xml:space="preserve">further clarifies the distinct yet intertwined roles of loneliness and social isolation. While both were associated with various physical health outcomes and health </w:t>
      </w:r>
      <w:r w:rsidR="007F1CF3" w:rsidRPr="00AD597A">
        <w:rPr>
          <w:sz w:val="24"/>
          <w:szCs w:val="24"/>
        </w:rPr>
        <w:t>behaviours</w:t>
      </w:r>
      <w:r w:rsidRPr="00AD597A">
        <w:rPr>
          <w:sz w:val="24"/>
          <w:szCs w:val="24"/>
        </w:rPr>
        <w:t xml:space="preserve">, social isolation emerged as a stronger predictor of mortality risk, whereas loneliness proved to be a more potent predictor of psychological outcomes. This research underscores the importance of differentiating between loneliness (the subjective feeling of being alone) and social isolation (the objective lack of social contact). </w:t>
      </w:r>
      <w:r w:rsidR="007F1CF3" w:rsidRPr="00AD597A">
        <w:rPr>
          <w:sz w:val="24"/>
          <w:szCs w:val="24"/>
        </w:rPr>
        <w:fldChar w:fldCharType="begin" w:fldLock="1"/>
      </w:r>
      <w:r w:rsidR="004648C4">
        <w:rPr>
          <w:sz w:val="24"/>
          <w:szCs w:val="24"/>
        </w:rPr>
        <w:instrText>ADDIN CSL_CITATION {"citationItems":[{"id":"ITEM-1","itemData":{"DOI":"10.1016/j.ssmph.2023.101459","ISSN":"23528273","abstract":"The detrimental effects of loneliness and social isolation on health and well-being outcomes are well documented. In response, governments, corporations, and community-based organizations have begun leveraging tools to create interventions and policies aimed at reducing loneliness and social isolation at scale. However, these efforts are frequently hampered by a key knowledge gap: when attempting to improve specific health and well-being outcomes, decision-makers are often unsure whether to target loneliness, social isolation, or both. Filling this knowledge gap will inform the development and refinement of effective interventions. Using data from the Health and Retirement Study (13,752 participants (59% women and 41% men, mean [SD] age = 67 [10] years)), we examined how changes in loneliness and social isolation over a 4-year follow-up period (from t0:2008/2010 to t1:2012/2014) were associated with 32 indicators of physical-, behavioral-, and psychosocial-health outcomes 4-years later (t2:2016/2018). We used multiple logistic-, linear-, and generalized-linear regression models, and adjusted for sociodemographic, personality traits, pre-baseline levels of both exposures (loneliness and social isolation), and all outcomes (t0:2008/2010). We incorporated data from all participants into the overall estimate, regardless of whether their levels of loneliness and social isolation changed from the pre-baseline to baseline waves. After adjusting for a wide range of covariates, we observed that both loneliness and social isolation were associated with several physical health outcomes and health behaviors. However, social isolation was more predictive of mortality risk and loneliness was a stronger predictor of psychological outcomes. Loneliness and social isolation have independent effects on various health and well-being outcomes and thus constitute distinct targets for interventions aimed at improving population health and well-being.","author":[{"dropping-particle":"","family":"Hong","given":"Joanna H.","non-dropping-particle":"","parse-names":false,"suffix":""},{"dropping-particle":"","family":"Nakamura","given":"Julia S.","non-dropping-particle":"","parse-names":false,"suffix":""},{"dropping-particle":"","family":"Berkman","given":"Lisa F.","non-dropping-particle":"","parse-names":false,"suffix":""},{"dropping-particle":"","family":"Chen","given":"Frances S.","non-dropping-particle":"","parse-names":false,"suffix":""},{"dropping-particle":"","family":"Shiba","given":"Koichiro","non-dropping-particle":"","parse-names":false,"suffix":""},{"dropping-particle":"","family":"Chen","given":"Ying","non-dropping-particle":"","parse-names":false,"suffix":""},{"dropping-particle":"","family":"Kim","given":"Eric S.","non-dropping-particle":"","parse-names":false,"suffix":""},{"dropping-particle":"","family":"VanderWeele","given":"Tyler J.","non-dropping-particle":"","parse-names":false,"suffix":""}],"container-title":"SSM - Population Health","id":"ITEM-1","issue":"June","issued":{"date-parts":[["2023"]]},"page":"101459","publisher":"Elsevier Ltd","title":"Are loneliness and social isolation equal threats to health and well-being? An outcome-wide longitudinal approach","type":"article-journal","volume":"23"},"uris":["http://www.mendeley.com/documents/?uuid=1b14e26d-e965-4aae-96c5-8e1a6ea0d55c"]}],"mendeley":{"formattedCitation":"(Hong et al., 2023)","manualFormatting":"Hong et al., (2023)","plainTextFormattedCitation":"(Hong et al., 2023)","previouslyFormattedCitation":"(Hong et al., 2023)"},"properties":{"noteIndex":0},"schema":"https://github.com/citation-style-language/schema/raw/master/csl-citation.json"}</w:instrText>
      </w:r>
      <w:r w:rsidR="007F1CF3" w:rsidRPr="00AD597A">
        <w:rPr>
          <w:sz w:val="24"/>
          <w:szCs w:val="24"/>
        </w:rPr>
        <w:fldChar w:fldCharType="separate"/>
      </w:r>
      <w:r w:rsidR="007F1CF3" w:rsidRPr="00AD597A">
        <w:rPr>
          <w:noProof/>
          <w:sz w:val="24"/>
          <w:szCs w:val="24"/>
        </w:rPr>
        <w:t xml:space="preserve">Hong </w:t>
      </w:r>
      <w:r w:rsidR="007F1CF3" w:rsidRPr="00AD597A">
        <w:rPr>
          <w:i/>
          <w:noProof/>
          <w:sz w:val="24"/>
          <w:szCs w:val="24"/>
        </w:rPr>
        <w:t>et al.</w:t>
      </w:r>
      <w:r w:rsidR="007F1CF3" w:rsidRPr="00AD597A">
        <w:rPr>
          <w:noProof/>
          <w:sz w:val="24"/>
          <w:szCs w:val="24"/>
        </w:rPr>
        <w:t>, (2023)</w:t>
      </w:r>
      <w:r w:rsidR="007F1CF3" w:rsidRPr="00AD597A">
        <w:rPr>
          <w:sz w:val="24"/>
          <w:szCs w:val="24"/>
        </w:rPr>
        <w:fldChar w:fldCharType="end"/>
      </w:r>
      <w:r w:rsidR="007F1CF3" w:rsidRPr="00AD597A">
        <w:rPr>
          <w:sz w:val="24"/>
          <w:szCs w:val="24"/>
        </w:rPr>
        <w:t xml:space="preserve"> </w:t>
      </w:r>
      <w:r w:rsidRPr="00AD597A">
        <w:rPr>
          <w:sz w:val="24"/>
          <w:szCs w:val="24"/>
        </w:rPr>
        <w:t>concluded that loneliness and social isolation exert independent effects on health and well-being, thus requiring distinct interventions to effectively improve population health. In summary, the evidence overwhelmingly supports the conclusion that loneliness has a substantial and detrimental impact on mental health, often contributing to depression and other forms of psychological distress. Moreover, the interplay between loneliness, social isolation, and socioeconomic factors necessitates a nuanced approach to understanding and addressing this complex issue.</w:t>
      </w:r>
    </w:p>
    <w:p w14:paraId="57BD7C06" w14:textId="5AB9183A" w:rsidR="004C41BC" w:rsidRPr="00AD597A" w:rsidRDefault="00B8504B" w:rsidP="007F1CF3">
      <w:pPr>
        <w:pStyle w:val="ListParagraph"/>
        <w:numPr>
          <w:ilvl w:val="1"/>
          <w:numId w:val="12"/>
        </w:numPr>
        <w:spacing w:line="360" w:lineRule="auto"/>
        <w:rPr>
          <w:i/>
          <w:iCs/>
          <w:sz w:val="24"/>
          <w:szCs w:val="24"/>
        </w:rPr>
      </w:pPr>
      <w:r w:rsidRPr="00AD597A">
        <w:rPr>
          <w:i/>
          <w:iCs/>
          <w:sz w:val="24"/>
          <w:szCs w:val="24"/>
        </w:rPr>
        <w:t>Extant Irish based evidence on loneliness</w:t>
      </w:r>
      <w:r w:rsidR="00FF62A5" w:rsidRPr="00AD597A">
        <w:rPr>
          <w:i/>
          <w:iCs/>
          <w:sz w:val="24"/>
          <w:szCs w:val="24"/>
        </w:rPr>
        <w:t>, social connection and mental health</w:t>
      </w:r>
    </w:p>
    <w:p w14:paraId="79494D87" w14:textId="6B7119C6" w:rsidR="005875A6" w:rsidRPr="00AD597A" w:rsidRDefault="005875A6" w:rsidP="007F1CF3">
      <w:pPr>
        <w:spacing w:line="360" w:lineRule="auto"/>
        <w:rPr>
          <w:sz w:val="24"/>
          <w:szCs w:val="24"/>
        </w:rPr>
      </w:pPr>
      <w:r w:rsidRPr="00AD597A">
        <w:rPr>
          <w:sz w:val="24"/>
          <w:szCs w:val="24"/>
        </w:rPr>
        <w:t>Research on loneliness, social connection, and mental health in Ireland has predominantly focused on older adults. Early work by Treacy et al. (2004) using a mixed-methods approach, found generally low loneliness scores among older Irish adults, with romantic loneliness, particularly among older women, being most prevalent. Social loneliness, linked to poor health, limited transport, and rented housing, was the next highest, while family loneliness was associated with being single or widowed, though having more children was protective. Despite the fact that the majority (73%) of older people had strong local support networks, nearly 10% experienced social isolation and higher loneliness. Drennan et al. (2008), also using the same survey data, identified age, poor health, rural living, and infrequent contact with friends as predictors of social loneliness, while family loneliness was predicted by rural living, being male, low income, widowhood, lack of transport, infrequent family contact, and caring responsibilities.</w:t>
      </w:r>
    </w:p>
    <w:p w14:paraId="0C303B84" w14:textId="0017AD1E" w:rsidR="005875A6" w:rsidRPr="00AD597A" w:rsidRDefault="005875A6" w:rsidP="007F1CF3">
      <w:pPr>
        <w:spacing w:line="360" w:lineRule="auto"/>
        <w:rPr>
          <w:sz w:val="24"/>
          <w:szCs w:val="24"/>
        </w:rPr>
      </w:pPr>
      <w:r w:rsidRPr="00AD597A">
        <w:rPr>
          <w:sz w:val="24"/>
          <w:szCs w:val="24"/>
        </w:rPr>
        <w:t>The advent of The Irish Longitudinal Study on Ageing (TILDA) marked a significant advancement in research on loneliness and social isolation among older adults in Ireland, generating a substantial body of in-depth research. Barrett and Mosca (2013) found that older Irish return migrants experienced greater social isolation than those who never migrated, although loneliness levels did not differ significantly. Kamiya et al. (2014) linked adverse childhood experiences, such as poverty and parental substance abuse, to increased loneliness in older age, along with being never married or widowed and poor later-life health. Ward et al. (2019) reported that approximately one-third of adults aged 50+ experienced emotional loneliness at least some of the time, with 7% often feeling lonely, particularly those with lower education, living alone, or in poor health. Loneliness</w:t>
      </w:r>
      <w:r w:rsidR="000E2019">
        <w:rPr>
          <w:sz w:val="24"/>
          <w:szCs w:val="24"/>
        </w:rPr>
        <w:t xml:space="preserve"> was </w:t>
      </w:r>
      <w:r w:rsidRPr="00AD597A">
        <w:rPr>
          <w:sz w:val="24"/>
          <w:szCs w:val="24"/>
        </w:rPr>
        <w:t xml:space="preserve">more strongly linked to depression than social isolation, </w:t>
      </w:r>
      <w:r w:rsidR="000E2019">
        <w:rPr>
          <w:sz w:val="24"/>
          <w:szCs w:val="24"/>
        </w:rPr>
        <w:t xml:space="preserve">and </w:t>
      </w:r>
      <w:r w:rsidRPr="00AD597A">
        <w:rPr>
          <w:sz w:val="24"/>
          <w:szCs w:val="24"/>
        </w:rPr>
        <w:t xml:space="preserve">affected over 75% of the loneliest individuals with clinically significant depressive symptoms. Santini et al. (2016) identified loneliness as a key link between poor relationships/social isolation and depression/anxiety, with men appearing more affected. Using longitudinal TILDA data, Domènech-Abella et al. (2019), found a reciprocal relationship between loneliness and depression/anxiety, with loneliness being the stronger driver. </w:t>
      </w:r>
    </w:p>
    <w:p w14:paraId="3167FA04" w14:textId="02F6A87A" w:rsidR="005875A6" w:rsidRPr="00AD597A" w:rsidRDefault="005875A6" w:rsidP="007F1CF3">
      <w:pPr>
        <w:spacing w:line="360" w:lineRule="auto"/>
        <w:rPr>
          <w:sz w:val="24"/>
          <w:szCs w:val="24"/>
        </w:rPr>
      </w:pPr>
      <w:r w:rsidRPr="00AD597A">
        <w:rPr>
          <w:sz w:val="24"/>
          <w:szCs w:val="24"/>
        </w:rPr>
        <w:t>Ward et al. (2021), linked TILDA and mortality data</w:t>
      </w:r>
      <w:r w:rsidR="00241211">
        <w:rPr>
          <w:sz w:val="24"/>
          <w:szCs w:val="24"/>
        </w:rPr>
        <w:t xml:space="preserve"> and</w:t>
      </w:r>
      <w:r w:rsidRPr="00AD597A">
        <w:rPr>
          <w:sz w:val="24"/>
          <w:szCs w:val="24"/>
        </w:rPr>
        <w:t xml:space="preserve"> found that both loneliness and isolation, particularly when experienced together, were associated with increased mortality risk, especially from cardiovascular causes. Ward et al. (2023) showed that while loneliness and depression were stable before the COVID-19 pandemic, both dramatically increased during its early months. </w:t>
      </w:r>
      <w:r w:rsidR="00241211">
        <w:rPr>
          <w:sz w:val="24"/>
          <w:szCs w:val="24"/>
        </w:rPr>
        <w:t>I</w:t>
      </w:r>
      <w:r w:rsidR="00241211" w:rsidRPr="00AD597A">
        <w:rPr>
          <w:sz w:val="24"/>
          <w:szCs w:val="24"/>
        </w:rPr>
        <w:t xml:space="preserve">n a cross-country study, </w:t>
      </w:r>
      <w:r w:rsidRPr="00AD597A">
        <w:rPr>
          <w:sz w:val="24"/>
          <w:szCs w:val="24"/>
        </w:rPr>
        <w:t xml:space="preserve">Mc Hugh Power et al. (2019), found that older Irish adults were less likely to feel lonely despite social isolation compared to Swedish counterparts, but social asymmetry (the difference between isolation and loneliness) affected brain function in both groups. </w:t>
      </w:r>
    </w:p>
    <w:p w14:paraId="7CEF34BB" w14:textId="4751E06F" w:rsidR="005875A6" w:rsidRPr="00AD597A" w:rsidRDefault="005875A6" w:rsidP="007F1CF3">
      <w:pPr>
        <w:spacing w:line="360" w:lineRule="auto"/>
        <w:rPr>
          <w:sz w:val="24"/>
          <w:szCs w:val="24"/>
        </w:rPr>
      </w:pPr>
      <w:r w:rsidRPr="00AD597A">
        <w:rPr>
          <w:sz w:val="24"/>
          <w:szCs w:val="24"/>
        </w:rPr>
        <w:t>A</w:t>
      </w:r>
      <w:r w:rsidR="000C7D2D">
        <w:rPr>
          <w:sz w:val="24"/>
          <w:szCs w:val="24"/>
        </w:rPr>
        <w:t xml:space="preserve">n alternative </w:t>
      </w:r>
      <w:r w:rsidR="005367F8">
        <w:rPr>
          <w:sz w:val="24"/>
          <w:szCs w:val="24"/>
        </w:rPr>
        <w:t xml:space="preserve">quantitative </w:t>
      </w:r>
      <w:r w:rsidR="000C7D2D">
        <w:rPr>
          <w:sz w:val="24"/>
          <w:szCs w:val="24"/>
        </w:rPr>
        <w:t>study</w:t>
      </w:r>
      <w:r w:rsidR="005367F8">
        <w:rPr>
          <w:sz w:val="24"/>
          <w:szCs w:val="24"/>
        </w:rPr>
        <w:t xml:space="preserve"> of older people</w:t>
      </w:r>
      <w:r w:rsidR="000C7D2D">
        <w:rPr>
          <w:sz w:val="24"/>
          <w:szCs w:val="24"/>
        </w:rPr>
        <w:t xml:space="preserve"> employed </w:t>
      </w:r>
      <w:r w:rsidRPr="00AD597A">
        <w:rPr>
          <w:sz w:val="24"/>
          <w:szCs w:val="24"/>
        </w:rPr>
        <w:t xml:space="preserve">data from </w:t>
      </w:r>
      <w:r w:rsidR="000C7D2D">
        <w:rPr>
          <w:sz w:val="24"/>
          <w:szCs w:val="24"/>
        </w:rPr>
        <w:t xml:space="preserve">Ireland’s </w:t>
      </w:r>
      <w:r w:rsidRPr="00AD597A">
        <w:rPr>
          <w:i/>
          <w:iCs/>
          <w:sz w:val="24"/>
          <w:szCs w:val="24"/>
        </w:rPr>
        <w:t>Healthy and Positive Ageing Initiative</w:t>
      </w:r>
      <w:r w:rsidR="005367F8">
        <w:rPr>
          <w:i/>
          <w:iCs/>
          <w:sz w:val="24"/>
          <w:szCs w:val="24"/>
        </w:rPr>
        <w:t xml:space="preserve"> </w:t>
      </w:r>
      <w:r w:rsidR="005367F8" w:rsidRPr="005367F8">
        <w:rPr>
          <w:sz w:val="24"/>
          <w:szCs w:val="24"/>
        </w:rPr>
        <w:t>(</w:t>
      </w:r>
      <w:r w:rsidRPr="00AD597A">
        <w:rPr>
          <w:sz w:val="24"/>
          <w:szCs w:val="24"/>
        </w:rPr>
        <w:t>Gibney et al</w:t>
      </w:r>
      <w:r w:rsidR="005367F8">
        <w:rPr>
          <w:sz w:val="24"/>
          <w:szCs w:val="24"/>
        </w:rPr>
        <w:t>,</w:t>
      </w:r>
      <w:r w:rsidRPr="00AD597A">
        <w:rPr>
          <w:sz w:val="24"/>
          <w:szCs w:val="24"/>
        </w:rPr>
        <w:t xml:space="preserve"> 2019), </w:t>
      </w:r>
      <w:r w:rsidR="00AD2184">
        <w:rPr>
          <w:sz w:val="24"/>
          <w:szCs w:val="24"/>
        </w:rPr>
        <w:t>uncover</w:t>
      </w:r>
      <w:r w:rsidR="00166AA5">
        <w:rPr>
          <w:sz w:val="24"/>
          <w:szCs w:val="24"/>
        </w:rPr>
        <w:t>ed</w:t>
      </w:r>
      <w:r w:rsidRPr="00AD597A">
        <w:rPr>
          <w:sz w:val="24"/>
          <w:szCs w:val="24"/>
        </w:rPr>
        <w:t xml:space="preserve"> higher loneliness scores among older adults in poorer health, </w:t>
      </w:r>
      <w:r w:rsidR="00AD2184">
        <w:rPr>
          <w:sz w:val="24"/>
          <w:szCs w:val="24"/>
        </w:rPr>
        <w:t xml:space="preserve">those </w:t>
      </w:r>
      <w:r w:rsidRPr="00AD597A">
        <w:rPr>
          <w:sz w:val="24"/>
          <w:szCs w:val="24"/>
        </w:rPr>
        <w:t>living alone, materially deprived, or never/formerly married</w:t>
      </w:r>
      <w:r w:rsidR="00AD2184">
        <w:rPr>
          <w:sz w:val="24"/>
          <w:szCs w:val="24"/>
        </w:rPr>
        <w:t>. L</w:t>
      </w:r>
      <w:r w:rsidRPr="00AD597A">
        <w:rPr>
          <w:sz w:val="24"/>
          <w:szCs w:val="24"/>
        </w:rPr>
        <w:t xml:space="preserve">oneliness </w:t>
      </w:r>
      <w:r w:rsidR="00AD2184">
        <w:rPr>
          <w:sz w:val="24"/>
          <w:szCs w:val="24"/>
        </w:rPr>
        <w:t xml:space="preserve">was also linked </w:t>
      </w:r>
      <w:r w:rsidRPr="00AD597A">
        <w:rPr>
          <w:sz w:val="24"/>
          <w:szCs w:val="24"/>
        </w:rPr>
        <w:t xml:space="preserve">to difficulties with transport and accessing social services, barriers to community activities, lower social engagement, and perceived ageism. The association between loneliness and depression was bi-directional. </w:t>
      </w:r>
      <w:r w:rsidR="00CF5EF0">
        <w:rPr>
          <w:sz w:val="24"/>
          <w:szCs w:val="24"/>
        </w:rPr>
        <w:t xml:space="preserve">Additionally, </w:t>
      </w:r>
      <w:r w:rsidRPr="00AD597A">
        <w:rPr>
          <w:sz w:val="24"/>
          <w:szCs w:val="24"/>
        </w:rPr>
        <w:t xml:space="preserve">Bailey et al. (2021) </w:t>
      </w:r>
      <w:r w:rsidR="000A3ED3">
        <w:rPr>
          <w:sz w:val="24"/>
          <w:szCs w:val="24"/>
        </w:rPr>
        <w:t>documented</w:t>
      </w:r>
      <w:r w:rsidR="0068073A" w:rsidRPr="0068073A">
        <w:rPr>
          <w:sz w:val="24"/>
          <w:szCs w:val="24"/>
        </w:rPr>
        <w:t xml:space="preserve"> that 57% of older patients attending ambulatory medical services during the pandemic reported experiencing loneliness, with one</w:t>
      </w:r>
      <w:r w:rsidR="000A3ED3">
        <w:rPr>
          <w:sz w:val="24"/>
          <w:szCs w:val="24"/>
        </w:rPr>
        <w:t>-</w:t>
      </w:r>
      <w:r w:rsidR="0068073A" w:rsidRPr="0068073A">
        <w:rPr>
          <w:sz w:val="24"/>
          <w:szCs w:val="24"/>
        </w:rPr>
        <w:t>in</w:t>
      </w:r>
      <w:r w:rsidR="000A3ED3">
        <w:rPr>
          <w:sz w:val="24"/>
          <w:szCs w:val="24"/>
        </w:rPr>
        <w:t>-</w:t>
      </w:r>
      <w:r w:rsidR="0068073A" w:rsidRPr="0068073A">
        <w:rPr>
          <w:sz w:val="24"/>
          <w:szCs w:val="24"/>
        </w:rPr>
        <w:t xml:space="preserve">eight reporting feeling lonely </w:t>
      </w:r>
      <w:r w:rsidR="000A3ED3">
        <w:rPr>
          <w:sz w:val="24"/>
          <w:szCs w:val="24"/>
        </w:rPr>
        <w:t>‘</w:t>
      </w:r>
      <w:r w:rsidR="0068073A" w:rsidRPr="0068073A">
        <w:rPr>
          <w:sz w:val="24"/>
          <w:szCs w:val="24"/>
        </w:rPr>
        <w:t>very often</w:t>
      </w:r>
      <w:r w:rsidR="000A3ED3">
        <w:rPr>
          <w:sz w:val="24"/>
          <w:szCs w:val="24"/>
        </w:rPr>
        <w:t>’</w:t>
      </w:r>
      <w:r w:rsidR="0068073A" w:rsidRPr="0068073A">
        <w:rPr>
          <w:sz w:val="24"/>
          <w:szCs w:val="24"/>
        </w:rPr>
        <w:t>.</w:t>
      </w:r>
    </w:p>
    <w:p w14:paraId="7FC6DC7F" w14:textId="762FBF0C" w:rsidR="005875A6" w:rsidRPr="00AD597A" w:rsidRDefault="005875A6" w:rsidP="007F1CF3">
      <w:pPr>
        <w:spacing w:line="360" w:lineRule="auto"/>
        <w:rPr>
          <w:sz w:val="24"/>
          <w:szCs w:val="24"/>
        </w:rPr>
      </w:pPr>
      <w:r w:rsidRPr="00AD597A">
        <w:rPr>
          <w:sz w:val="24"/>
          <w:szCs w:val="24"/>
        </w:rPr>
        <w:t>In a qualitative study of a befriending scheme in Donegal</w:t>
      </w:r>
      <w:r w:rsidR="00890F1A">
        <w:rPr>
          <w:sz w:val="24"/>
          <w:szCs w:val="24"/>
        </w:rPr>
        <w:t>,</w:t>
      </w:r>
      <w:r w:rsidRPr="00AD597A">
        <w:rPr>
          <w:sz w:val="24"/>
          <w:szCs w:val="24"/>
        </w:rPr>
        <w:t xml:space="preserve"> McHugh Power et al. (2017) </w:t>
      </w:r>
      <w:r w:rsidR="00890F1A">
        <w:rPr>
          <w:sz w:val="24"/>
          <w:szCs w:val="24"/>
        </w:rPr>
        <w:t>reported</w:t>
      </w:r>
      <w:r w:rsidRPr="00AD597A">
        <w:rPr>
          <w:sz w:val="24"/>
          <w:szCs w:val="24"/>
        </w:rPr>
        <w:t xml:space="preserve"> that social connection was crucial for avoiding and alleviating loneliness, which was attributed to the absence of others, inactivity/boredom, and perceived threats to personal safety. Social support and activity were viewed as potential antidotes. Other qualitative research on older people by Bantry-White et al. (2018) suggested that loneliness and isolation in rural Ireland reflected community struggles and anxieties about moderni</w:t>
      </w:r>
      <w:r w:rsidR="00516187" w:rsidRPr="00AD597A">
        <w:rPr>
          <w:sz w:val="24"/>
          <w:szCs w:val="24"/>
        </w:rPr>
        <w:t>s</w:t>
      </w:r>
      <w:r w:rsidRPr="00AD597A">
        <w:rPr>
          <w:sz w:val="24"/>
          <w:szCs w:val="24"/>
        </w:rPr>
        <w:t>ation.</w:t>
      </w:r>
    </w:p>
    <w:p w14:paraId="092FC9B6" w14:textId="2B117E1A" w:rsidR="00711B67" w:rsidRPr="00AD597A" w:rsidRDefault="00E754BF" w:rsidP="007F1CF3">
      <w:pPr>
        <w:spacing w:line="360" w:lineRule="auto"/>
        <w:rPr>
          <w:sz w:val="24"/>
          <w:szCs w:val="24"/>
        </w:rPr>
      </w:pPr>
      <w:r w:rsidRPr="00AD597A">
        <w:rPr>
          <w:sz w:val="24"/>
          <w:szCs w:val="24"/>
        </w:rPr>
        <w:t xml:space="preserve">Another group which has received scholarly attention in </w:t>
      </w:r>
      <w:r w:rsidR="002840EA" w:rsidRPr="00AD597A">
        <w:rPr>
          <w:sz w:val="24"/>
          <w:szCs w:val="24"/>
        </w:rPr>
        <w:t xml:space="preserve">terms of loneliness in the Irish context </w:t>
      </w:r>
      <w:r w:rsidR="007B4A17" w:rsidRPr="00AD597A">
        <w:rPr>
          <w:sz w:val="24"/>
          <w:szCs w:val="24"/>
        </w:rPr>
        <w:t>are adolescent</w:t>
      </w:r>
      <w:r w:rsidR="002840EA" w:rsidRPr="00AD597A">
        <w:rPr>
          <w:sz w:val="24"/>
          <w:szCs w:val="24"/>
        </w:rPr>
        <w:t xml:space="preserve">s and young people. </w:t>
      </w:r>
      <w:r w:rsidR="00B309F8" w:rsidRPr="00AD597A">
        <w:rPr>
          <w:sz w:val="24"/>
          <w:szCs w:val="24"/>
        </w:rPr>
        <w:t xml:space="preserve">Adolescence has been described as "the loneliest developmental period" </w:t>
      </w:r>
      <w:r w:rsidR="00531DEF" w:rsidRPr="00AD597A">
        <w:rPr>
          <w:sz w:val="24"/>
          <w:szCs w:val="24"/>
        </w:rPr>
        <w:fldChar w:fldCharType="begin" w:fldLock="1"/>
      </w:r>
      <w:r w:rsidR="00E809B2" w:rsidRPr="00AD597A">
        <w:rPr>
          <w:sz w:val="24"/>
          <w:szCs w:val="24"/>
        </w:rPr>
        <w:instrText>ADDIN CSL_CITATION {"citationItems":[{"id":"ITEM-1","itemData":{"author":[{"dropping-particle":"","family":"Hartog","given":"J","non-dropping-particle":"","parse-names":false,"suffix":""}],"id":"ITEM-1","issued":{"date-parts":[["1981"]]},"publisher":"New York: International Universities Press","title":"The anatomy of loneliness","type":"book"},"uris":["http://www.mendeley.com/documents/?uuid=a49d9a37-40bf-42c8-9e81-5e4ecfee118b"]}],"mendeley":{"formattedCitation":"(Hartog, 1981)","plainTextFormattedCitation":"(Hartog, 1981)","previouslyFormattedCitation":"(Hartog, 1981)"},"properties":{"noteIndex":0},"schema":"https://github.com/citation-style-language/schema/raw/master/csl-citation.json"}</w:instrText>
      </w:r>
      <w:r w:rsidR="00531DEF" w:rsidRPr="00AD597A">
        <w:rPr>
          <w:sz w:val="24"/>
          <w:szCs w:val="24"/>
        </w:rPr>
        <w:fldChar w:fldCharType="separate"/>
      </w:r>
      <w:r w:rsidR="00531DEF" w:rsidRPr="00AD597A">
        <w:rPr>
          <w:noProof/>
          <w:sz w:val="24"/>
          <w:szCs w:val="24"/>
        </w:rPr>
        <w:t>(Hartog, 1981)</w:t>
      </w:r>
      <w:r w:rsidR="00531DEF" w:rsidRPr="00AD597A">
        <w:rPr>
          <w:sz w:val="24"/>
          <w:szCs w:val="24"/>
        </w:rPr>
        <w:fldChar w:fldCharType="end"/>
      </w:r>
      <w:r w:rsidR="00531DEF" w:rsidRPr="00AD597A">
        <w:rPr>
          <w:sz w:val="24"/>
          <w:szCs w:val="24"/>
        </w:rPr>
        <w:t xml:space="preserve"> </w:t>
      </w:r>
      <w:r w:rsidR="00B309F8" w:rsidRPr="00AD597A">
        <w:rPr>
          <w:sz w:val="24"/>
          <w:szCs w:val="24"/>
        </w:rPr>
        <w:t>when physical and psychological changes tend to isolate individuals from each other and raise questions relating to core issues of self-hood, such as, identity. Construed by many as a period of</w:t>
      </w:r>
      <w:r w:rsidR="00E809B2" w:rsidRPr="00AD597A">
        <w:rPr>
          <w:sz w:val="24"/>
          <w:szCs w:val="24"/>
        </w:rPr>
        <w:t xml:space="preserve"> </w:t>
      </w:r>
      <w:r w:rsidR="00B309F8" w:rsidRPr="00AD597A">
        <w:rPr>
          <w:sz w:val="24"/>
          <w:szCs w:val="24"/>
        </w:rPr>
        <w:t xml:space="preserve">inner turmoil and alienation, it is a time, some argue, when loneliness is highly prevalent and particularly intense as compared to other age periods </w:t>
      </w:r>
      <w:r w:rsidR="00E809B2" w:rsidRPr="00AD597A">
        <w:rPr>
          <w:sz w:val="24"/>
          <w:szCs w:val="24"/>
        </w:rPr>
        <w:fldChar w:fldCharType="begin" w:fldLock="1"/>
      </w:r>
      <w:r w:rsidR="00441E7F" w:rsidRPr="00AD597A">
        <w:rPr>
          <w:sz w:val="24"/>
          <w:szCs w:val="24"/>
        </w:rPr>
        <w:instrText>ADDIN CSL_CITATION {"citationItems":[{"id":"ITEM-1","itemData":{"author":[{"dropping-particle":"","family":"Woodward","given":"J.","non-dropping-particle":"","parse-names":false,"suffix":""},{"dropping-particle":"","family":"Frank","given":"B.","non-dropping-particle":"","parse-names":false,"suffix":""}],"container-title":"Adolescence","id":"ITEM-1","issued":{"date-parts":[["1988"]]},"page":"559-565","title":"Rural Adolescent Loneliness and Coping Strategies","type":"article-journal","volume":"23"},"uris":["http://www.mendeley.com/documents/?uuid=cc4b608f-3e33-4772-b31f-540a715b4fb7"]}],"mendeley":{"formattedCitation":"(Woodward and Frank, 1988)","plainTextFormattedCitation":"(Woodward and Frank, 1988)","previouslyFormattedCitation":"(Woodward and Frank, 1988)"},"properties":{"noteIndex":0},"schema":"https://github.com/citation-style-language/schema/raw/master/csl-citation.json"}</w:instrText>
      </w:r>
      <w:r w:rsidR="00E809B2" w:rsidRPr="00AD597A">
        <w:rPr>
          <w:sz w:val="24"/>
          <w:szCs w:val="24"/>
        </w:rPr>
        <w:fldChar w:fldCharType="separate"/>
      </w:r>
      <w:r w:rsidR="00E809B2" w:rsidRPr="00AD597A">
        <w:rPr>
          <w:noProof/>
          <w:sz w:val="24"/>
          <w:szCs w:val="24"/>
        </w:rPr>
        <w:t>(Woodward and Frank, 1988)</w:t>
      </w:r>
      <w:r w:rsidR="00E809B2" w:rsidRPr="00AD597A">
        <w:rPr>
          <w:sz w:val="24"/>
          <w:szCs w:val="24"/>
        </w:rPr>
        <w:fldChar w:fldCharType="end"/>
      </w:r>
      <w:r w:rsidR="00E809B2" w:rsidRPr="00AD597A">
        <w:rPr>
          <w:sz w:val="24"/>
          <w:szCs w:val="24"/>
        </w:rPr>
        <w:t>.</w:t>
      </w:r>
      <w:r w:rsidR="006A1B64">
        <w:rPr>
          <w:sz w:val="24"/>
          <w:szCs w:val="24"/>
        </w:rPr>
        <w:t xml:space="preserve"> </w:t>
      </w:r>
      <w:r w:rsidR="00711B67" w:rsidRPr="00AD597A">
        <w:rPr>
          <w:sz w:val="24"/>
          <w:szCs w:val="24"/>
        </w:rPr>
        <w:fldChar w:fldCharType="begin" w:fldLock="1"/>
      </w:r>
      <w:r w:rsidR="000A7032" w:rsidRPr="00AD597A">
        <w:rPr>
          <w:sz w:val="24"/>
          <w:szCs w:val="24"/>
        </w:rPr>
        <w:instrText>ADDIN CSL_CITATION {"citationItems":[{"id":"ITEM-1","itemData":{"DOI":"10.1080/03033910.2000.10558256","ISSN":"03033910","abstract":"Using a cross-sectional design, adolescent loneliness was explored in a sample of 1090 Irish adolescents (396 male and 688 female) drawn from the 2nd year and transition/5th year of 23 secondary schools from 8 counties across the Irish Republic. The Louvain Loneliness Scale for Children and Adolescents (LLCA) was administered to this sample and the results from the 4 sub-scales (Parent-Related and Peer-Related Loneliness, Aversion to and Affinity for Aloneness) compared across the age-groups and by gender. A significant drop in parent and peer-related loneliness across adolescence was found suggesting that early adolescence is a time of greater vulnerability for loneliness.","author":[{"dropping-particle":"","family":"Roiste","given":"Áine","non-dropping-particle":"De","parse-names":false,"suffix":""}],"container-title":"Irish Journal of Psychology","id":"ITEM-1","issue":"3-4","issued":{"date-parts":[["2000"]]},"page":"237-246","title":"Peer and parent-related loneliness in Irish adolescents","type":"article-journal","volume":"21"},"uris":["http://www.mendeley.com/documents/?uuid=1add013b-4e71-434d-921f-fee4c99857ae"]}],"mendeley":{"formattedCitation":"(De Roiste, 2000)","manualFormatting":"De Roiste's (2000)","plainTextFormattedCitation":"(De Roiste, 2000)","previouslyFormattedCitation":"(De Roiste, 2000)"},"properties":{"noteIndex":0},"schema":"https://github.com/citation-style-language/schema/raw/master/csl-citation.json"}</w:instrText>
      </w:r>
      <w:r w:rsidR="00711B67" w:rsidRPr="00AD597A">
        <w:rPr>
          <w:sz w:val="24"/>
          <w:szCs w:val="24"/>
        </w:rPr>
        <w:fldChar w:fldCharType="separate"/>
      </w:r>
      <w:r w:rsidR="00711B67" w:rsidRPr="00AD597A">
        <w:rPr>
          <w:noProof/>
          <w:sz w:val="24"/>
          <w:szCs w:val="24"/>
        </w:rPr>
        <w:t>De Roiste</w:t>
      </w:r>
      <w:r w:rsidR="000A7032" w:rsidRPr="00AD597A">
        <w:rPr>
          <w:noProof/>
          <w:sz w:val="24"/>
          <w:szCs w:val="24"/>
        </w:rPr>
        <w:t>'s</w:t>
      </w:r>
      <w:r w:rsidR="00711B67" w:rsidRPr="00AD597A">
        <w:rPr>
          <w:noProof/>
          <w:sz w:val="24"/>
          <w:szCs w:val="24"/>
        </w:rPr>
        <w:t xml:space="preserve"> </w:t>
      </w:r>
      <w:r w:rsidR="000A7032" w:rsidRPr="00AD597A">
        <w:rPr>
          <w:noProof/>
          <w:sz w:val="24"/>
          <w:szCs w:val="24"/>
        </w:rPr>
        <w:t>(</w:t>
      </w:r>
      <w:r w:rsidR="00711B67" w:rsidRPr="00AD597A">
        <w:rPr>
          <w:noProof/>
          <w:sz w:val="24"/>
          <w:szCs w:val="24"/>
        </w:rPr>
        <w:t>2000)</w:t>
      </w:r>
      <w:r w:rsidR="00711B67" w:rsidRPr="00AD597A">
        <w:rPr>
          <w:sz w:val="24"/>
          <w:szCs w:val="24"/>
        </w:rPr>
        <w:fldChar w:fldCharType="end"/>
      </w:r>
      <w:r w:rsidR="00DC72B9" w:rsidRPr="00AD597A">
        <w:rPr>
          <w:sz w:val="24"/>
          <w:szCs w:val="24"/>
        </w:rPr>
        <w:t xml:space="preserve"> </w:t>
      </w:r>
      <w:r w:rsidR="000A7032" w:rsidRPr="00AD597A">
        <w:rPr>
          <w:sz w:val="24"/>
          <w:szCs w:val="24"/>
        </w:rPr>
        <w:t>cross-sectional survey of Irish secondary school students examined peer-related loneliness (related to peer attachment or rejection) and parent-related loneliness (resulting from changing family roles and emotional distancing). The study indicated a significant decrease in both types of loneliness across adolescence, suggesting that early adolescence is a more vulnerable period for experiencing loneliness.</w:t>
      </w:r>
    </w:p>
    <w:p w14:paraId="11DF9E23" w14:textId="4CF04F5F" w:rsidR="00DA5B57" w:rsidRPr="00AD597A" w:rsidRDefault="007A225E" w:rsidP="007F1CF3">
      <w:pPr>
        <w:spacing w:line="360" w:lineRule="auto"/>
        <w:rPr>
          <w:sz w:val="24"/>
          <w:szCs w:val="24"/>
        </w:rPr>
      </w:pPr>
      <w:r w:rsidRPr="00AD597A">
        <w:rPr>
          <w:sz w:val="24"/>
          <w:szCs w:val="24"/>
        </w:rPr>
        <w:t xml:space="preserve">The </w:t>
      </w:r>
      <w:r w:rsidRPr="00AD597A">
        <w:rPr>
          <w:i/>
          <w:iCs/>
          <w:sz w:val="24"/>
          <w:szCs w:val="24"/>
        </w:rPr>
        <w:t>Growing Up in Ireland</w:t>
      </w:r>
      <w:r w:rsidRPr="00AD597A">
        <w:rPr>
          <w:sz w:val="24"/>
          <w:szCs w:val="24"/>
        </w:rPr>
        <w:t xml:space="preserve"> study, a longitudinal cohort similar to TILDA, documented loneliness among 20-year-olds (O'Mahony et al., 2021). This report, focusing on mental health, found 22% of participants exhibit</w:t>
      </w:r>
      <w:r w:rsidR="006A1B64">
        <w:rPr>
          <w:sz w:val="24"/>
          <w:szCs w:val="24"/>
        </w:rPr>
        <w:t>ed</w:t>
      </w:r>
      <w:r w:rsidRPr="00AD597A">
        <w:rPr>
          <w:sz w:val="24"/>
          <w:szCs w:val="24"/>
        </w:rPr>
        <w:t xml:space="preserve"> high depressive symptoms</w:t>
      </w:r>
      <w:r w:rsidR="006A1B64">
        <w:rPr>
          <w:sz w:val="24"/>
          <w:szCs w:val="24"/>
        </w:rPr>
        <w:t>, with</w:t>
      </w:r>
      <w:r w:rsidRPr="00AD597A">
        <w:rPr>
          <w:sz w:val="24"/>
          <w:szCs w:val="24"/>
        </w:rPr>
        <w:t xml:space="preserve"> sleep and loneliness key contributing factors. Nearly 30% of the 20-year-olds reported experiencing restless sleep and/or loneliness </w:t>
      </w:r>
      <w:r w:rsidRPr="00001717">
        <w:rPr>
          <w:i/>
          <w:iCs/>
          <w:sz w:val="24"/>
          <w:szCs w:val="24"/>
        </w:rPr>
        <w:t>at least some of the time</w:t>
      </w:r>
      <w:r w:rsidRPr="00AD597A">
        <w:rPr>
          <w:sz w:val="24"/>
          <w:szCs w:val="24"/>
        </w:rPr>
        <w:t xml:space="preserve"> (1-2 days) in the week prior to the interview, with an additional 20% reporting these issues more frequently (3-4 days or more).</w:t>
      </w:r>
    </w:p>
    <w:p w14:paraId="164ADA84" w14:textId="4038E299" w:rsidR="00E155B3" w:rsidRPr="00AD597A" w:rsidRDefault="002645A3" w:rsidP="007F1CF3">
      <w:pPr>
        <w:spacing w:line="360" w:lineRule="auto"/>
        <w:rPr>
          <w:sz w:val="24"/>
          <w:szCs w:val="24"/>
        </w:rPr>
      </w:pPr>
      <w:r w:rsidRPr="00AD597A">
        <w:rPr>
          <w:sz w:val="24"/>
          <w:szCs w:val="24"/>
        </w:rPr>
        <w:t xml:space="preserve">In a study of acute adolescent psychiatry referrals </w:t>
      </w:r>
      <w:r w:rsidR="006073E8" w:rsidRPr="00AD597A">
        <w:rPr>
          <w:sz w:val="24"/>
          <w:szCs w:val="24"/>
        </w:rPr>
        <w:t>from</w:t>
      </w:r>
      <w:r w:rsidRPr="00AD597A">
        <w:rPr>
          <w:sz w:val="24"/>
          <w:szCs w:val="24"/>
        </w:rPr>
        <w:t xml:space="preserve"> </w:t>
      </w:r>
      <w:r w:rsidR="006073E8" w:rsidRPr="00AD597A">
        <w:rPr>
          <w:sz w:val="24"/>
          <w:szCs w:val="24"/>
        </w:rPr>
        <w:t>presentation</w:t>
      </w:r>
      <w:r w:rsidR="00E95345" w:rsidRPr="00AD597A">
        <w:rPr>
          <w:sz w:val="24"/>
          <w:szCs w:val="24"/>
        </w:rPr>
        <w:t>s</w:t>
      </w:r>
      <w:r w:rsidR="006073E8" w:rsidRPr="00AD597A">
        <w:rPr>
          <w:sz w:val="24"/>
          <w:szCs w:val="24"/>
        </w:rPr>
        <w:t xml:space="preserve"> to a hospital Emergency</w:t>
      </w:r>
      <w:r w:rsidR="00DC1BA1" w:rsidRPr="00AD597A">
        <w:rPr>
          <w:sz w:val="24"/>
          <w:szCs w:val="24"/>
        </w:rPr>
        <w:t xml:space="preserve"> Department</w:t>
      </w:r>
      <w:r w:rsidR="006073E8" w:rsidRPr="00AD597A">
        <w:rPr>
          <w:sz w:val="24"/>
          <w:szCs w:val="24"/>
        </w:rPr>
        <w:t xml:space="preserve"> </w:t>
      </w:r>
      <w:r w:rsidR="00E95345" w:rsidRPr="00AD597A">
        <w:rPr>
          <w:sz w:val="24"/>
          <w:szCs w:val="24"/>
        </w:rPr>
        <w:t xml:space="preserve">in Ireland </w:t>
      </w:r>
      <w:r w:rsidRPr="00AD597A">
        <w:rPr>
          <w:sz w:val="24"/>
          <w:szCs w:val="24"/>
        </w:rPr>
        <w:t>during the COVID-19 period</w:t>
      </w:r>
      <w:r w:rsidR="00890F1A">
        <w:rPr>
          <w:sz w:val="24"/>
          <w:szCs w:val="24"/>
        </w:rPr>
        <w:t>,</w:t>
      </w:r>
      <w:r w:rsidR="006073E8" w:rsidRPr="00AD597A">
        <w:rPr>
          <w:sz w:val="24"/>
          <w:szCs w:val="24"/>
        </w:rPr>
        <w:t xml:space="preserve"> </w:t>
      </w:r>
      <w:r w:rsidRPr="00AD597A">
        <w:rPr>
          <w:sz w:val="24"/>
          <w:szCs w:val="24"/>
        </w:rPr>
        <w:fldChar w:fldCharType="begin" w:fldLock="1"/>
      </w:r>
      <w:r w:rsidR="004648C4">
        <w:rPr>
          <w:sz w:val="24"/>
          <w:szCs w:val="24"/>
        </w:rPr>
        <w:instrText>ADDIN CSL_CITATION {"citationItems":[{"id":"ITEM-1","itemData":{"DOI":"10.1007/s11845-022-03080-0","ISBN":"1184502203080","ISSN":"18634362","PMID":"35739358","abstract":"Objective: The aim of this study is to investigate the impact of the coronavirus pandemic on teenage psychiatry referrals following crisis presentation to the adult emergency department (ED) of an Irish tertiary hospital. In doing so, this study will specifically examine the effect of COVID-19 on self-injurious behaviour, suicidality and substance use among older adolescents (age 16/17 years). Methods: This is a retrospective descriptive analysis of acute adolescent psychiatry referrals assessed out-of-hours via the adult ED psychiatry service across three consecutive time points (during the months of March, April and May) from pre-pandemic, 2019 (T1); initial pandemic, 2020 (T2); and peak pandemic, 2021 (T3). Data were obtained via the hospital’s ED-specific electronic database, review of original assessment notes and cross-referenced by manually extracting data logged in the on-call register. Results: Crisis psychiatry assessments of teenagers during on-call hours trebled during the period of this study (p &lt; 0.001). Although ED/crisis referrals initially decreased overall at the start of the pandemic, the rate of teenage referrals remained constant, before increasing as restrictions tightened in lockdown. The negative impact of COVID-19 on teenagers’ ability to cope was found to be statistically significant (p = 0.001). Changes in rates of self-harming and/or suicidal behaviours were not statistically significant between 2019, 2020 and 2021 (p = 0.082). Alcohol misuse occurred in up to one-third of cases across each timeframe and remained virtually constant throughout the pandemic. Drug misuse decreased from onset of COVID-19 (p = 0.01). Conclusions: To our knowledge, this is the first study to specifically examine the impact of COVID-19 on suicidality, self-harming behaviours, substance misuse and on-call ED presentations of teenagers in Ireland. This study demonstrates that coronavirus-related stress is associated with negative mental health sequelae for vulnerable at-risk older adolescents, as evidenced by a rise in ED presentations and on-call referrals since the onset of the pandemic. Presentation of increased numbers of under-18’s for psychiatry assessment at the adult ED/general hospital indicates a deepening chasm between available and aspirational emergency (adolescent-specific) psychiatric care in the community. Mobilising resilience factors and maximising coping skills for at-risk youth will inform tailored intervention and support strategi…","author":[{"dropping-particle":"","family":"McLoughlin","given":"Aoibheann","non-dropping-particle":"","parse-names":false,"suffix":""},{"dropping-particle":"","family":"Abdalla","given":"Ahad","non-dropping-particle":"","parse-names":false,"suffix":""},{"dropping-particle":"","family":"Gonzalez","given":"Jade","non-dropping-particle":"","parse-names":false,"suffix":""},{"dropping-particle":"","family":"Freyne","given":"Aoife","non-dropping-particle":"","parse-names":false,"suffix":""},{"dropping-particle":"","family":"Asghar","given":"Muhammad","non-dropping-particle":"","parse-names":false,"suffix":""},{"dropping-particle":"","family":"Ferguson","given":"Yolande","non-dropping-particle":"","parse-names":false,"suffix":""}],"container-title":"Irish Journal of Medical Science","id":"ITEM-1","issue":"3","issued":{"date-parts":[["2023"]]},"page":"1419-1426","publisher":"Springer International Publishing","title":"Locked in and locked out: sequelae of a pandemic for distressed and vulnerable teenagers in Ireland: Post-COVID rise in psychiatry assessments of teenagers presenting to the emergency department out-of-hours at an adult Irish tertiary hospital","type":"article-journal","volume":"192"},"uris":["http://www.mendeley.com/documents/?uuid=681f7997-ee76-44fd-b1bd-1df532b7e76a"]}],"mendeley":{"formattedCitation":"(McLoughlin et al., 2023)","manualFormatting":"McLoughlin et al. (2023)","plainTextFormattedCitation":"(McLoughlin et al., 2023)","previouslyFormattedCitation":"(McLoughlin et al., 2023)"},"properties":{"noteIndex":0},"schema":"https://github.com/citation-style-language/schema/raw/master/csl-citation.json"}</w:instrText>
      </w:r>
      <w:r w:rsidRPr="00AD597A">
        <w:rPr>
          <w:sz w:val="24"/>
          <w:szCs w:val="24"/>
        </w:rPr>
        <w:fldChar w:fldCharType="separate"/>
      </w:r>
      <w:r w:rsidR="00B10B06" w:rsidRPr="00AD597A">
        <w:rPr>
          <w:noProof/>
          <w:sz w:val="24"/>
          <w:szCs w:val="24"/>
        </w:rPr>
        <w:t xml:space="preserve">McLoughlin </w:t>
      </w:r>
      <w:r w:rsidR="00B10B06" w:rsidRPr="00AD597A">
        <w:rPr>
          <w:i/>
          <w:noProof/>
          <w:sz w:val="24"/>
          <w:szCs w:val="24"/>
        </w:rPr>
        <w:t>et al.</w:t>
      </w:r>
      <w:r w:rsidR="00B10B06" w:rsidRPr="00AD597A">
        <w:rPr>
          <w:noProof/>
          <w:sz w:val="24"/>
          <w:szCs w:val="24"/>
        </w:rPr>
        <w:t xml:space="preserve"> </w:t>
      </w:r>
      <w:r w:rsidR="001F1F91" w:rsidRPr="00AD597A">
        <w:rPr>
          <w:noProof/>
          <w:sz w:val="24"/>
          <w:szCs w:val="24"/>
        </w:rPr>
        <w:t>(</w:t>
      </w:r>
      <w:r w:rsidR="00B10B06" w:rsidRPr="00AD597A">
        <w:rPr>
          <w:noProof/>
          <w:sz w:val="24"/>
          <w:szCs w:val="24"/>
        </w:rPr>
        <w:t>2023)</w:t>
      </w:r>
      <w:r w:rsidRPr="00AD597A">
        <w:rPr>
          <w:sz w:val="24"/>
          <w:szCs w:val="24"/>
        </w:rPr>
        <w:fldChar w:fldCharType="end"/>
      </w:r>
      <w:r w:rsidR="001F1F91" w:rsidRPr="00AD597A">
        <w:rPr>
          <w:sz w:val="24"/>
          <w:szCs w:val="24"/>
        </w:rPr>
        <w:t xml:space="preserve"> </w:t>
      </w:r>
      <w:r w:rsidR="00DC7D08" w:rsidRPr="00AD597A">
        <w:rPr>
          <w:sz w:val="24"/>
          <w:szCs w:val="24"/>
        </w:rPr>
        <w:t>reported that the</w:t>
      </w:r>
      <w:r w:rsidR="00E155B3" w:rsidRPr="00AD597A">
        <w:rPr>
          <w:sz w:val="24"/>
          <w:szCs w:val="24"/>
        </w:rPr>
        <w:t xml:space="preserve"> restrictions exacerbated isolation and loneliness among vulnerable Irish teens</w:t>
      </w:r>
      <w:r w:rsidR="001A398E" w:rsidRPr="00AD597A">
        <w:rPr>
          <w:sz w:val="24"/>
          <w:szCs w:val="24"/>
        </w:rPr>
        <w:t xml:space="preserve"> </w:t>
      </w:r>
      <w:r w:rsidR="00E155B3" w:rsidRPr="00AD597A">
        <w:rPr>
          <w:sz w:val="24"/>
          <w:szCs w:val="24"/>
        </w:rPr>
        <w:t>and limited opportunities for building peer support.</w:t>
      </w:r>
    </w:p>
    <w:p w14:paraId="04D0F93B" w14:textId="6B83602E" w:rsidR="00434A91" w:rsidRPr="00AD597A" w:rsidRDefault="00D550A2" w:rsidP="007F1CF3">
      <w:pPr>
        <w:spacing w:line="360" w:lineRule="auto"/>
        <w:rPr>
          <w:sz w:val="24"/>
          <w:szCs w:val="24"/>
        </w:rPr>
      </w:pPr>
      <w:r w:rsidRPr="00AD597A">
        <w:rPr>
          <w:sz w:val="24"/>
          <w:szCs w:val="24"/>
        </w:rPr>
        <w:t xml:space="preserve">Qualitative research </w:t>
      </w:r>
      <w:r w:rsidR="00001717">
        <w:rPr>
          <w:sz w:val="24"/>
          <w:szCs w:val="24"/>
        </w:rPr>
        <w:t xml:space="preserve">has </w:t>
      </w:r>
      <w:r w:rsidRPr="00AD597A">
        <w:rPr>
          <w:sz w:val="24"/>
          <w:szCs w:val="24"/>
        </w:rPr>
        <w:t>explored the experiences and causes of loneliness among young Irish adults (18-25)</w:t>
      </w:r>
      <w:r w:rsidR="00001717">
        <w:rPr>
          <w:sz w:val="24"/>
          <w:szCs w:val="24"/>
        </w:rPr>
        <w:t xml:space="preserve"> </w:t>
      </w:r>
      <w:r w:rsidR="00001717" w:rsidRPr="00AD597A">
        <w:rPr>
          <w:sz w:val="24"/>
          <w:szCs w:val="24"/>
        </w:rPr>
        <w:fldChar w:fldCharType="begin" w:fldLock="1"/>
      </w:r>
      <w:r w:rsidR="004648C4">
        <w:rPr>
          <w:sz w:val="24"/>
          <w:szCs w:val="24"/>
        </w:rPr>
        <w:instrText>ADDIN CSL_CITATION {"citationItems":[{"id":"ITEM-1","itemData":{"DOI":"10.1177/21676968231194380","ISSN":"21676984","abstract":"Loneliness, the distressing feeling that accompanies the perception of a person’s social relationships as inadequate, is common in emerging adulthood. This qualitative study explored the experiences and views of loneliness, and the causes of loneliness from the perspective of emerging adults. A youth Research Advisory Group was consulted during the design of the study. Semi-structured interviews were conducted with 27 emerging adults (18–25 years old, M = 20.81, SD = 1.78). Using framework analysis, two key themes were identified; loneliness and development “a part of growing up”, and expectations about a typical emerging adult’s life “that’s how my life should be”. Results suggested that social transitions and expectations for an emerging adults’ life contributed to feelings of loneliness. Our findings suggest that future efforts to understand and prevent loneliness in emerging adulthood should consider that loneliness may be transient in nature and a more complex experience during this life-stage.","author":[{"dropping-particle":"","family":"Kirwan","given":"Emma M.","non-dropping-particle":"","parse-names":false,"suffix":""},{"dropping-particle":"","family":"O’Súilleabháin","given":"Páraic S.","non-dropping-particle":"","parse-names":false,"suffix":""},{"dropping-particle":"","family":"Burns","given":"Annette","non-dropping-particle":"","parse-names":false,"suffix":""},{"dropping-particle":"","family":"Ogoro","given":"Mamobo","non-dropping-particle":"","parse-names":false,"suffix":""},{"dropping-particle":"","family":"Allen","given":"Eoghan","non-dropping-particle":"","parse-names":false,"suffix":""},{"dropping-particle":"","family":"Creaven","given":"Ann Marie","non-dropping-particle":"","parse-names":false,"suffix":""}],"container-title":"Emerging Adulthood","id":"ITEM-1","issue":"6","issued":{"date-parts":[["2023"]]},"page":"1433-1445","title":"Exploring Loneliness in Emerging Adulthood: A Qualitative Study","type":"article-journal","volume":"11"},"uris":["http://www.mendeley.com/documents/?uuid=fd8d2789-a402-4c37-8fa2-a95f13d33710"]}],"mendeley":{"formattedCitation":"(Kirwan et al., 2023)","plainTextFormattedCitation":"(Kirwan et al., 2023)","previouslyFormattedCitation":"(Kirwan et al., 2023)"},"properties":{"noteIndex":0},"schema":"https://github.com/citation-style-language/schema/raw/master/csl-citation.json"}</w:instrText>
      </w:r>
      <w:r w:rsidR="00001717" w:rsidRPr="00AD597A">
        <w:rPr>
          <w:sz w:val="24"/>
          <w:szCs w:val="24"/>
        </w:rPr>
        <w:fldChar w:fldCharType="separate"/>
      </w:r>
      <w:r w:rsidR="00001717" w:rsidRPr="00A066FF">
        <w:rPr>
          <w:noProof/>
          <w:sz w:val="24"/>
          <w:szCs w:val="24"/>
        </w:rPr>
        <w:t>(Kirwan et al., 2023)</w:t>
      </w:r>
      <w:r w:rsidR="00001717" w:rsidRPr="00AD597A">
        <w:rPr>
          <w:sz w:val="24"/>
          <w:szCs w:val="24"/>
        </w:rPr>
        <w:fldChar w:fldCharType="end"/>
      </w:r>
      <w:r w:rsidRPr="00AD597A">
        <w:rPr>
          <w:sz w:val="24"/>
          <w:szCs w:val="24"/>
        </w:rPr>
        <w:t>. Participants viewed loneliness as common, universal, and potentially a consequence of normal development, even describing it as unavoidable. They also acknowledged the influence of societal and self-imposed expectations on young adult development, social lives, and experiences of loneliness</w:t>
      </w:r>
      <w:r w:rsidR="00476F11" w:rsidRPr="00AD597A">
        <w:rPr>
          <w:sz w:val="24"/>
          <w:szCs w:val="24"/>
        </w:rPr>
        <w:t>.</w:t>
      </w:r>
    </w:p>
    <w:p w14:paraId="183D24FD" w14:textId="3AC450BE" w:rsidR="00637263" w:rsidRPr="00AD597A" w:rsidRDefault="00EA4B9E" w:rsidP="007F1CF3">
      <w:pPr>
        <w:spacing w:line="360" w:lineRule="auto"/>
        <w:rPr>
          <w:sz w:val="24"/>
          <w:szCs w:val="24"/>
        </w:rPr>
      </w:pPr>
      <w:r w:rsidRPr="00AD597A">
        <w:rPr>
          <w:sz w:val="24"/>
          <w:szCs w:val="24"/>
        </w:rPr>
        <w:t>Turning to other groups in the population, q</w:t>
      </w:r>
      <w:r w:rsidR="006F56BE" w:rsidRPr="00AD597A">
        <w:rPr>
          <w:sz w:val="24"/>
          <w:szCs w:val="24"/>
        </w:rPr>
        <w:t xml:space="preserve">ualitative research by </w:t>
      </w:r>
      <w:r w:rsidR="00434A91" w:rsidRPr="00AD597A">
        <w:rPr>
          <w:sz w:val="24"/>
          <w:szCs w:val="24"/>
        </w:rPr>
        <w:fldChar w:fldCharType="begin" w:fldLock="1"/>
      </w:r>
      <w:r w:rsidRPr="00AD597A">
        <w:rPr>
          <w:sz w:val="24"/>
          <w:szCs w:val="24"/>
        </w:rPr>
        <w:instrText>ADDIN CSL_CITATION {"citationItems":[{"id":"ITEM-1","itemData":{"DOI":"10.1046/j.1365-2702.2003.00684.x","ISSN":"09621067","PMID":"12603559","abstract":"• The aim of this research was to identify needs, perceptions and experiences of first-time mothers in the postnatal period. • Data were collected through focus groups and in-depth interviews from a sample of 13 women, 61% were aged 20 years or less, from an urban city area in Southern Ireland. Through content analysis, key themes were identified relating to birth and hospitalization, support, motherhood and psychological issues. • Attendance at antenatal classes was variable and perceptions of being unprepared for birth and motherhood prevailed. Participants appeared shocked at the amount of pain experienced during birth and had little rest during hospitalization. They received physical and emotional support and preparation for childcare from midwives. Breastfeeding, while promoted, by midwives was not acceptable. • The 'maternal mother' was key in providing direct childcare, advice and emotional help, support for attendance at school and 'time out' to socialize. Support was reciprocal if the maternal mother had young children. • Professional support by public health nurses was well-established. However, emphasis was perceived to be on 'baby's development'. • Maternal depression, loneliness, living in homes with limited space and difficulty in 'letting go' of baby care to return to school or work were reported. • Implications for antenatal preparation, national policies, motherhood, and the need for further research are discussed.","author":[{"dropping-particle":"","family":"Cronin","given":"Camille","non-dropping-particle":"","parse-names":false,"suffix":""}],"container-title":"Journal of Clinical Nursing","id":"ITEM-1","issue":"2","issued":{"date-parts":[["2003"]]},"page":"260-267","title":"First-time mothers - Identifying their needs, perceptions and experiences","type":"article-journal","volume":"12"},"uris":["http://www.mendeley.com/documents/?uuid=06d46a66-0b4a-4b9d-9227-add4f6665373"]}],"mendeley":{"formattedCitation":"(Cronin, 2003)","manualFormatting":"Cronin (2003)","plainTextFormattedCitation":"(Cronin, 2003)","previouslyFormattedCitation":"(Cronin, 2003)"},"properties":{"noteIndex":0},"schema":"https://github.com/citation-style-language/schema/raw/master/csl-citation.json"}</w:instrText>
      </w:r>
      <w:r w:rsidR="00434A91" w:rsidRPr="00AD597A">
        <w:rPr>
          <w:sz w:val="24"/>
          <w:szCs w:val="24"/>
        </w:rPr>
        <w:fldChar w:fldCharType="separate"/>
      </w:r>
      <w:r w:rsidR="00434A91" w:rsidRPr="00AD597A">
        <w:rPr>
          <w:noProof/>
          <w:sz w:val="24"/>
          <w:szCs w:val="24"/>
        </w:rPr>
        <w:t xml:space="preserve">Cronin </w:t>
      </w:r>
      <w:r w:rsidR="006F56BE" w:rsidRPr="00AD597A">
        <w:rPr>
          <w:noProof/>
          <w:sz w:val="24"/>
          <w:szCs w:val="24"/>
        </w:rPr>
        <w:t>(</w:t>
      </w:r>
      <w:r w:rsidR="00434A91" w:rsidRPr="00AD597A">
        <w:rPr>
          <w:noProof/>
          <w:sz w:val="24"/>
          <w:szCs w:val="24"/>
        </w:rPr>
        <w:t>2003)</w:t>
      </w:r>
      <w:r w:rsidR="00434A91" w:rsidRPr="00AD597A">
        <w:rPr>
          <w:sz w:val="24"/>
          <w:szCs w:val="24"/>
        </w:rPr>
        <w:fldChar w:fldCharType="end"/>
      </w:r>
      <w:r w:rsidR="00171AA9" w:rsidRPr="00AD597A">
        <w:rPr>
          <w:sz w:val="24"/>
          <w:szCs w:val="24"/>
        </w:rPr>
        <w:t xml:space="preserve"> documented a sense of loneliness felt by </w:t>
      </w:r>
      <w:r w:rsidR="00002822" w:rsidRPr="00AD597A">
        <w:rPr>
          <w:sz w:val="24"/>
          <w:szCs w:val="24"/>
        </w:rPr>
        <w:t xml:space="preserve">first-time mothers in </w:t>
      </w:r>
      <w:r w:rsidR="00F75042" w:rsidRPr="00AD597A">
        <w:rPr>
          <w:sz w:val="24"/>
          <w:szCs w:val="24"/>
        </w:rPr>
        <w:t>Ireland,</w:t>
      </w:r>
      <w:r w:rsidR="00002822" w:rsidRPr="00AD597A">
        <w:rPr>
          <w:sz w:val="24"/>
          <w:szCs w:val="24"/>
        </w:rPr>
        <w:t xml:space="preserve"> while </w:t>
      </w:r>
      <w:r w:rsidR="00241595" w:rsidRPr="00AD597A">
        <w:rPr>
          <w:sz w:val="24"/>
          <w:szCs w:val="24"/>
        </w:rPr>
        <w:fldChar w:fldCharType="begin" w:fldLock="1"/>
      </w:r>
      <w:r w:rsidR="00434A91" w:rsidRPr="00AD597A">
        <w:rPr>
          <w:sz w:val="24"/>
          <w:szCs w:val="24"/>
        </w:rPr>
        <w:instrText>ADDIN CSL_CITATION {"citationItems":[{"id":"ITEM-1","itemData":{"author":[{"dropping-particle":"","family":"Byrne","given":"Aisling","non-dropping-particle":"","parse-names":false,"suffix":""}],"id":"ITEM-1","issued":{"date-parts":[["2018"]]},"publisher":"National College of Ireland","title":"An investigation into the influence of various sources of social support for Irish mothers , on their subjective feelings of loneliness and stress . BA (Honours) Psychology Submission of Thesis and Dissertation","type":"book"},"uris":["http://www.mendeley.com/documents/?uuid=f688f582-938c-49ec-b722-97af5fedcc76"]}],"mendeley":{"formattedCitation":"(Byrne, 2018)","manualFormatting":"Byrne's (2018)","plainTextFormattedCitation":"(Byrne, 2018)","previouslyFormattedCitation":"(Byrne, 2018)"},"properties":{"noteIndex":0},"schema":"https://github.com/citation-style-language/schema/raw/master/csl-citation.json"}</w:instrText>
      </w:r>
      <w:r w:rsidR="00241595" w:rsidRPr="00AD597A">
        <w:rPr>
          <w:sz w:val="24"/>
          <w:szCs w:val="24"/>
        </w:rPr>
        <w:fldChar w:fldCharType="separate"/>
      </w:r>
      <w:r w:rsidR="00241595" w:rsidRPr="00AD597A">
        <w:rPr>
          <w:noProof/>
          <w:sz w:val="24"/>
          <w:szCs w:val="24"/>
        </w:rPr>
        <w:t>Byrne's (2018)</w:t>
      </w:r>
      <w:r w:rsidR="00241595" w:rsidRPr="00AD597A">
        <w:rPr>
          <w:sz w:val="24"/>
          <w:szCs w:val="24"/>
        </w:rPr>
        <w:fldChar w:fldCharType="end"/>
      </w:r>
      <w:r w:rsidR="00241595" w:rsidRPr="00AD597A">
        <w:rPr>
          <w:sz w:val="24"/>
          <w:szCs w:val="24"/>
        </w:rPr>
        <w:t xml:space="preserve"> Irish survey of mothers of young children, recruited via social media, found that single, stay-at-home mothers reported much higher levels of both</w:t>
      </w:r>
      <w:r w:rsidR="00AA3A72">
        <w:rPr>
          <w:sz w:val="24"/>
          <w:szCs w:val="24"/>
        </w:rPr>
        <w:t xml:space="preserve"> stress and </w:t>
      </w:r>
      <w:r w:rsidR="00262E56">
        <w:rPr>
          <w:sz w:val="24"/>
          <w:szCs w:val="24"/>
        </w:rPr>
        <w:t>loneliness</w:t>
      </w:r>
      <w:r w:rsidR="00241595" w:rsidRPr="00AD597A">
        <w:rPr>
          <w:sz w:val="24"/>
          <w:szCs w:val="24"/>
        </w:rPr>
        <w:t xml:space="preserve">. </w:t>
      </w:r>
      <w:r w:rsidR="00773099" w:rsidRPr="00AD597A">
        <w:rPr>
          <w:sz w:val="24"/>
          <w:szCs w:val="24"/>
        </w:rPr>
        <w:t>In addition</w:t>
      </w:r>
      <w:r w:rsidRPr="00AD597A">
        <w:rPr>
          <w:sz w:val="24"/>
          <w:szCs w:val="24"/>
        </w:rPr>
        <w:t>, a</w:t>
      </w:r>
      <w:r w:rsidR="00012457" w:rsidRPr="00AD597A">
        <w:rPr>
          <w:sz w:val="24"/>
          <w:szCs w:val="24"/>
        </w:rPr>
        <w:t xml:space="preserve"> qualitative Irish study </w:t>
      </w:r>
      <w:r w:rsidR="00773099">
        <w:rPr>
          <w:sz w:val="24"/>
          <w:szCs w:val="24"/>
        </w:rPr>
        <w:t>of th</w:t>
      </w:r>
      <w:r w:rsidR="00CF7357">
        <w:rPr>
          <w:sz w:val="24"/>
          <w:szCs w:val="24"/>
        </w:rPr>
        <w:t xml:space="preserve">ose identifying as LGBT by </w:t>
      </w:r>
      <w:r w:rsidR="00CD154A" w:rsidRPr="00AD597A">
        <w:rPr>
          <w:sz w:val="24"/>
          <w:szCs w:val="24"/>
        </w:rPr>
        <w:fldChar w:fldCharType="begin" w:fldLock="1"/>
      </w:r>
      <w:r w:rsidR="004648C4">
        <w:rPr>
          <w:sz w:val="24"/>
          <w:szCs w:val="24"/>
        </w:rPr>
        <w:instrText>ADDIN CSL_CITATION {"citationItems":[{"id":"ITEM-1","itemData":{"DOI":"10.3390/ijerph16193636","ISSN":"16604601","PMID":"31569733","abstract":"The broad research consensus suggesting substantial vulnerabilities among lesbian, gay, bisexual and transgender (LGBT) communities may fail to recognize the protective factors available to these populations. The sparse literature on mental health promotion highlights the importance of understanding strengths-based community approaches that promote LGBT wellbeing. Informed by the Ottawa Charter for Health Promotion, underpinned by Honneth’s Theory of Recognition, this paper outlines the findings of a qualitative Irish study on LGBT social connectedness through a diverse range of sporting, creative and social interests. Ten in-depth interviews were conducted with 11 people (including one couple) who self-identified as lesbian (5), gay (4), bisexual (1) and transgender (1) aged between 22 and 56 years. A university Research Ethics Committee granted approval. The data were transcribed and coded using thematic analysis, enhanced through a memo-writing approach to reflexivity. The theme of ‘connecting’ emphasized the shared nature of activities, with like-minded others through groups established by, and for, LGBT communities. Messages from the study reinforce the central role of LGBT communities in the promotion of mental health and social wellbeing, with important policy and practice implications. This requires the contextualization of the contribution of LGBT communities within understandings of social justice, identity and recognition.","author":[{"dropping-particle":"","family":"Ceatha","given":"Nerilee","non-dropping-particle":"","parse-names":false,"suffix":""},{"dropping-particle":"","family":"Mayock","given":"Paula","non-dropping-particle":"","parse-names":false,"suffix":""},{"dropping-particle":"","family":"Campbell","given":"Jim","non-dropping-particle":"","parse-names":false,"suffix":""},{"dropping-particle":"","family":"Noone","given":"Chris","non-dropping-particle":"","parse-names":false,"suffix":""},{"dropping-particle":"","family":"Browne","given":"Kath","non-dropping-particle":"","parse-names":false,"suffix":""}],"container-title":"International Journal of Environmental Research and Public Health","id":"ITEM-1","issue":"19","issued":{"date-parts":[["2019"]]},"title":"The power of recognition: A qualitative study of social connectedness and wellbeing through LGBT sporting, creative and social groups in Ireland","type":"article-journal","volume":"16"},"uris":["http://www.mendeley.com/documents/?uuid=85719be2-8c7b-427a-9920-f6526d53016f"]}],"mendeley":{"formattedCitation":"(Ceatha et al., 2019)","manualFormatting":"Ceatha et al. (2019)","plainTextFormattedCitation":"(Ceatha et al., 2019)","previouslyFormattedCitation":"(Ceatha et al., 2019)"},"properties":{"noteIndex":0},"schema":"https://github.com/citation-style-language/schema/raw/master/csl-citation.json"}</w:instrText>
      </w:r>
      <w:r w:rsidR="00CD154A" w:rsidRPr="00AD597A">
        <w:rPr>
          <w:sz w:val="24"/>
          <w:szCs w:val="24"/>
        </w:rPr>
        <w:fldChar w:fldCharType="separate"/>
      </w:r>
      <w:r w:rsidR="00B10B06" w:rsidRPr="00AD597A">
        <w:rPr>
          <w:noProof/>
          <w:sz w:val="24"/>
          <w:szCs w:val="24"/>
        </w:rPr>
        <w:t xml:space="preserve">Ceatha </w:t>
      </w:r>
      <w:r w:rsidR="00B10B06" w:rsidRPr="00AD597A">
        <w:rPr>
          <w:i/>
          <w:noProof/>
          <w:sz w:val="24"/>
          <w:szCs w:val="24"/>
        </w:rPr>
        <w:t>et al.</w:t>
      </w:r>
      <w:r w:rsidR="00B10B06" w:rsidRPr="00AD597A">
        <w:rPr>
          <w:noProof/>
          <w:sz w:val="24"/>
          <w:szCs w:val="24"/>
        </w:rPr>
        <w:t xml:space="preserve"> </w:t>
      </w:r>
      <w:r w:rsidR="00CF7357">
        <w:rPr>
          <w:noProof/>
          <w:sz w:val="24"/>
          <w:szCs w:val="24"/>
        </w:rPr>
        <w:t>(</w:t>
      </w:r>
      <w:r w:rsidR="00B10B06" w:rsidRPr="00AD597A">
        <w:rPr>
          <w:noProof/>
          <w:sz w:val="24"/>
          <w:szCs w:val="24"/>
        </w:rPr>
        <w:t>2019)</w:t>
      </w:r>
      <w:r w:rsidR="00CD154A" w:rsidRPr="00AD597A">
        <w:rPr>
          <w:sz w:val="24"/>
          <w:szCs w:val="24"/>
        </w:rPr>
        <w:fldChar w:fldCharType="end"/>
      </w:r>
      <w:r w:rsidR="00E55CA3" w:rsidRPr="00AD597A">
        <w:rPr>
          <w:sz w:val="24"/>
          <w:szCs w:val="24"/>
        </w:rPr>
        <w:t xml:space="preserve"> </w:t>
      </w:r>
      <w:r w:rsidR="00012457" w:rsidRPr="00AD597A">
        <w:rPr>
          <w:sz w:val="24"/>
          <w:szCs w:val="24"/>
        </w:rPr>
        <w:t>emphasised the importance of LGBT communities for</w:t>
      </w:r>
      <w:r w:rsidR="00CD154A" w:rsidRPr="00AD597A">
        <w:rPr>
          <w:sz w:val="24"/>
          <w:szCs w:val="24"/>
        </w:rPr>
        <w:t xml:space="preserve"> social connectedness,</w:t>
      </w:r>
      <w:r w:rsidR="00012457" w:rsidRPr="00AD597A">
        <w:rPr>
          <w:sz w:val="24"/>
          <w:szCs w:val="24"/>
        </w:rPr>
        <w:t xml:space="preserve"> mental health and social wellbeing, also noting the potential of social prescribing to promote community involvement and combat social isolation.</w:t>
      </w:r>
    </w:p>
    <w:p w14:paraId="43A10D5C" w14:textId="18A410CA" w:rsidR="00822EFE" w:rsidRPr="00AD597A" w:rsidRDefault="00822EFE" w:rsidP="007F1CF3">
      <w:pPr>
        <w:spacing w:line="360" w:lineRule="auto"/>
        <w:rPr>
          <w:sz w:val="24"/>
          <w:szCs w:val="24"/>
        </w:rPr>
      </w:pPr>
      <w:r w:rsidRPr="00AD597A">
        <w:rPr>
          <w:sz w:val="24"/>
          <w:szCs w:val="24"/>
        </w:rPr>
        <w:t xml:space="preserve">The finding that Ireland ranked as the loneliest EU nation </w:t>
      </w:r>
      <w:r w:rsidR="00C84554">
        <w:rPr>
          <w:sz w:val="24"/>
          <w:szCs w:val="24"/>
        </w:rPr>
        <w:t>in 2022</w:t>
      </w:r>
      <w:r w:rsidR="00182C4E" w:rsidRPr="00AD597A">
        <w:rPr>
          <w:sz w:val="24"/>
          <w:szCs w:val="24"/>
        </w:rPr>
        <w:t xml:space="preserve"> </w:t>
      </w:r>
      <w:r w:rsidR="00182C4E" w:rsidRPr="00AD597A">
        <w:rPr>
          <w:sz w:val="24"/>
          <w:szCs w:val="24"/>
        </w:rPr>
        <w:fldChar w:fldCharType="begin" w:fldLock="1"/>
      </w:r>
      <w:r w:rsidR="004648C4">
        <w:rPr>
          <w:sz w:val="24"/>
          <w:szCs w:val="24"/>
        </w:rPr>
        <w:instrText>ADDIN CSL_CITATION {"citationItems":[{"id":"ITEM-1","itemData":{"abstract":"A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-1","issued":{"date-parts":[["2023"]]},"publisher":"European Commission","title":"Loneliness and social connectedness: insights from a new EU-wide survey","type":"book","volume":"JRC133351"},"uris":["http://www.mendeley.com/documents/?uuid=332dc588-cfef-41b3-9ee3-52cd9c2a5614"]}],"mendeley":{"formattedCitation":"(Berlingieri et al., 2023)","plainTextFormattedCitation":"(Berlingieri et al., 2023)","previouslyFormattedCitation":"(Berlingieri et al., 2023)"},"properties":{"noteIndex":0},"schema":"https://github.com/citation-style-language/schema/raw/master/csl-citation.json"}</w:instrText>
      </w:r>
      <w:r w:rsidR="00182C4E" w:rsidRPr="00AD597A">
        <w:rPr>
          <w:sz w:val="24"/>
          <w:szCs w:val="24"/>
        </w:rPr>
        <w:fldChar w:fldCharType="separate"/>
      </w:r>
      <w:r w:rsidR="000443B6" w:rsidRPr="00A066FF">
        <w:rPr>
          <w:noProof/>
          <w:sz w:val="24"/>
          <w:szCs w:val="24"/>
        </w:rPr>
        <w:t>(Berlingieri et al., 2023)</w:t>
      </w:r>
      <w:r w:rsidR="00182C4E" w:rsidRPr="00AD597A">
        <w:rPr>
          <w:sz w:val="24"/>
          <w:szCs w:val="24"/>
        </w:rPr>
        <w:fldChar w:fldCharType="end"/>
      </w:r>
      <w:r w:rsidR="00182C4E" w:rsidRPr="00AD597A">
        <w:rPr>
          <w:sz w:val="24"/>
          <w:szCs w:val="24"/>
        </w:rPr>
        <w:t xml:space="preserve">, </w:t>
      </w:r>
      <w:r w:rsidRPr="00AD597A">
        <w:rPr>
          <w:sz w:val="24"/>
          <w:szCs w:val="24"/>
        </w:rPr>
        <w:t>with 20% of respondents reporting feeling lonely most or all of the time, prompted a policy document</w:t>
      </w:r>
      <w:r w:rsidR="00182C4E" w:rsidRPr="00AD597A">
        <w:rPr>
          <w:sz w:val="24"/>
          <w:szCs w:val="24"/>
        </w:rPr>
        <w:t xml:space="preserve"> </w:t>
      </w:r>
      <w:r w:rsidRPr="00AD597A">
        <w:rPr>
          <w:sz w:val="24"/>
          <w:szCs w:val="24"/>
        </w:rPr>
        <w:t>to</w:t>
      </w:r>
      <w:r w:rsidR="00182C4E" w:rsidRPr="00AD597A">
        <w:rPr>
          <w:sz w:val="24"/>
          <w:szCs w:val="24"/>
        </w:rPr>
        <w:t xml:space="preserve"> explore</w:t>
      </w:r>
      <w:r w:rsidRPr="00AD597A">
        <w:rPr>
          <w:sz w:val="24"/>
          <w:szCs w:val="24"/>
        </w:rPr>
        <w:t xml:space="preserve"> the contributing factors</w:t>
      </w:r>
      <w:r w:rsidR="00C84554">
        <w:rPr>
          <w:sz w:val="24"/>
          <w:szCs w:val="24"/>
        </w:rPr>
        <w:t xml:space="preserve"> </w:t>
      </w:r>
      <w:r w:rsidR="00C84554" w:rsidRPr="00AD597A">
        <w:rPr>
          <w:sz w:val="24"/>
          <w:szCs w:val="24"/>
        </w:rPr>
        <w:fldChar w:fldCharType="begin" w:fldLock="1"/>
      </w:r>
      <w:r w:rsidR="00C84554">
        <w:rPr>
          <w:sz w:val="24"/>
          <w:szCs w:val="24"/>
        </w:rPr>
        <w:instrText>ADDIN CSL_CITATION {"citationItems":[{"id":"ITEM-1","itemData":{"author":[{"dropping-particle":"","family":"McHugh Power","given":"Joanna","non-dropping-particle":"","parse-names":false,"suffix":""},{"dropping-particle":"","family":"Swader","given":"C","non-dropping-particle":"","parse-names":false,"suffix":""}],"id":"ITEM-1","issued":{"date-parts":[["2025"]]},"number-of-pages":"1-10","publisher":"PublicPolicy.ie","title":"The Loneliest Nation in Europe? Ireland as a Case Study, and Implications for Policy","type":"book"},"uris":["http://www.mendeley.com/documents/?uuid=dc4f2091-f089-4a00-a415-c457c610fc23"]}],"mendeley":{"formattedCitation":"(McHugh Power and Swader, 2025)","plainTextFormattedCitation":"(McHugh Power and Swader, 2025)","previouslyFormattedCitation":"(McHugh Power and Swader, 2025)"},"properties":{"noteIndex":0},"schema":"https://github.com/citation-style-language/schema/raw/master/csl-citation.json"}</w:instrText>
      </w:r>
      <w:r w:rsidR="00C84554" w:rsidRPr="00AD597A">
        <w:rPr>
          <w:sz w:val="24"/>
          <w:szCs w:val="24"/>
        </w:rPr>
        <w:fldChar w:fldCharType="separate"/>
      </w:r>
      <w:r w:rsidR="00C84554" w:rsidRPr="008C3EDF">
        <w:rPr>
          <w:noProof/>
          <w:sz w:val="24"/>
          <w:szCs w:val="24"/>
        </w:rPr>
        <w:t>(McHugh Power and Swader, 2025)</w:t>
      </w:r>
      <w:r w:rsidR="00C84554" w:rsidRPr="00AD597A">
        <w:rPr>
          <w:sz w:val="24"/>
          <w:szCs w:val="24"/>
        </w:rPr>
        <w:fldChar w:fldCharType="end"/>
      </w:r>
      <w:r w:rsidRPr="00AD597A">
        <w:rPr>
          <w:sz w:val="24"/>
          <w:szCs w:val="24"/>
        </w:rPr>
        <w:t xml:space="preserve">. </w:t>
      </w:r>
      <w:r w:rsidR="00182C4E" w:rsidRPr="00AD597A">
        <w:rPr>
          <w:sz w:val="24"/>
          <w:szCs w:val="24"/>
        </w:rPr>
        <w:t>The authors posit that Ireland's demographics, specifically its young age profile and rural character, coupled with both inward and outward migration patterns, may explain the high prevalence of loneliness. The</w:t>
      </w:r>
      <w:r w:rsidR="006C1176">
        <w:rPr>
          <w:sz w:val="24"/>
          <w:szCs w:val="24"/>
        </w:rPr>
        <w:t>y propose that these</w:t>
      </w:r>
      <w:r w:rsidR="00182C4E" w:rsidRPr="00AD597A">
        <w:rPr>
          <w:sz w:val="24"/>
          <w:szCs w:val="24"/>
        </w:rPr>
        <w:t xml:space="preserve"> factors are potentially compounded by a deficit in social infrastructure, including accessible social spaces and opportunities for recreational, cultural, and sporting activities that foster social connection, thereby creating an environment conducive to loneliness. </w:t>
      </w:r>
      <w:r w:rsidRPr="00AD597A">
        <w:rPr>
          <w:sz w:val="24"/>
          <w:szCs w:val="24"/>
        </w:rPr>
        <w:t xml:space="preserve">It is worth noting, however, that another study, conducted by Meta and Gallup (2023) using </w:t>
      </w:r>
      <w:r w:rsidR="00346617" w:rsidRPr="00AD597A">
        <w:rPr>
          <w:sz w:val="24"/>
          <w:szCs w:val="24"/>
        </w:rPr>
        <w:t xml:space="preserve">global </w:t>
      </w:r>
      <w:r w:rsidRPr="00AD597A">
        <w:rPr>
          <w:sz w:val="24"/>
          <w:szCs w:val="24"/>
        </w:rPr>
        <w:t>survey data from the same year (2022), reported a lower</w:t>
      </w:r>
      <w:r w:rsidR="00346617" w:rsidRPr="00AD597A">
        <w:rPr>
          <w:sz w:val="24"/>
          <w:szCs w:val="24"/>
        </w:rPr>
        <w:t xml:space="preserve"> loneliness prevalence for Ireland</w:t>
      </w:r>
      <w:r w:rsidRPr="00AD597A">
        <w:rPr>
          <w:sz w:val="24"/>
          <w:szCs w:val="24"/>
        </w:rPr>
        <w:t>, with 13% of Irish respondents identifying as "very" or "fairly" lonely.</w:t>
      </w:r>
    </w:p>
    <w:p w14:paraId="23A3CA44" w14:textId="68291E1F" w:rsidR="009F77B4" w:rsidRPr="00AD597A" w:rsidRDefault="00823CC4" w:rsidP="009F77B4">
      <w:pPr>
        <w:spacing w:line="360" w:lineRule="auto"/>
        <w:rPr>
          <w:sz w:val="24"/>
          <w:szCs w:val="24"/>
        </w:rPr>
      </w:pPr>
      <w:r w:rsidRPr="00AD597A">
        <w:rPr>
          <w:sz w:val="24"/>
          <w:szCs w:val="24"/>
        </w:rPr>
        <w:t xml:space="preserve">In terms of </w:t>
      </w:r>
      <w:r w:rsidR="00D611E1" w:rsidRPr="00AD597A">
        <w:rPr>
          <w:sz w:val="24"/>
          <w:szCs w:val="24"/>
        </w:rPr>
        <w:t xml:space="preserve">the state of </w:t>
      </w:r>
      <w:r w:rsidRPr="00AD597A">
        <w:rPr>
          <w:sz w:val="24"/>
          <w:szCs w:val="24"/>
        </w:rPr>
        <w:t>mental health</w:t>
      </w:r>
      <w:r w:rsidR="00D611E1" w:rsidRPr="00AD597A">
        <w:rPr>
          <w:sz w:val="24"/>
          <w:szCs w:val="24"/>
        </w:rPr>
        <w:t xml:space="preserve"> in the nation</w:t>
      </w:r>
      <w:r w:rsidRPr="00AD597A">
        <w:rPr>
          <w:sz w:val="24"/>
          <w:szCs w:val="24"/>
        </w:rPr>
        <w:t xml:space="preserve">, </w:t>
      </w:r>
      <w:r w:rsidR="003A776D" w:rsidRPr="00AD597A">
        <w:rPr>
          <w:noProof/>
          <w:sz w:val="24"/>
          <w:szCs w:val="24"/>
        </w:rPr>
        <w:t xml:space="preserve">Hyland </w:t>
      </w:r>
      <w:r w:rsidR="003A776D" w:rsidRPr="00AD597A">
        <w:rPr>
          <w:i/>
          <w:noProof/>
          <w:sz w:val="24"/>
          <w:szCs w:val="24"/>
        </w:rPr>
        <w:t>et al.</w:t>
      </w:r>
      <w:r w:rsidR="001E3512">
        <w:rPr>
          <w:i/>
          <w:noProof/>
          <w:sz w:val="24"/>
          <w:szCs w:val="24"/>
        </w:rPr>
        <w:t xml:space="preserve"> </w:t>
      </w:r>
      <w:r w:rsidR="003A776D" w:rsidRPr="00AD597A">
        <w:rPr>
          <w:noProof/>
          <w:sz w:val="24"/>
          <w:szCs w:val="24"/>
        </w:rPr>
        <w:t>(2022</w:t>
      </w:r>
      <w:r w:rsidR="00D85EB0" w:rsidRPr="00AD597A">
        <w:rPr>
          <w:noProof/>
          <w:sz w:val="24"/>
          <w:szCs w:val="24"/>
        </w:rPr>
        <w:t>)</w:t>
      </w:r>
      <w:r w:rsidR="006973BF" w:rsidRPr="00AD597A">
        <w:rPr>
          <w:sz w:val="24"/>
          <w:szCs w:val="24"/>
        </w:rPr>
        <w:t xml:space="preserve"> </w:t>
      </w:r>
      <w:r w:rsidR="00B35A89" w:rsidRPr="00AD597A">
        <w:rPr>
          <w:sz w:val="24"/>
          <w:szCs w:val="24"/>
        </w:rPr>
        <w:t xml:space="preserve">examined </w:t>
      </w:r>
      <w:r w:rsidR="0088445D" w:rsidRPr="00AD597A">
        <w:rPr>
          <w:sz w:val="24"/>
          <w:szCs w:val="24"/>
        </w:rPr>
        <w:t xml:space="preserve">a range of indicators of </w:t>
      </w:r>
      <w:r w:rsidR="00B35A89" w:rsidRPr="00AD597A">
        <w:rPr>
          <w:sz w:val="24"/>
          <w:szCs w:val="24"/>
        </w:rPr>
        <w:t xml:space="preserve">mental health </w:t>
      </w:r>
      <w:r w:rsidR="00D85EB0" w:rsidRPr="00AD597A">
        <w:rPr>
          <w:sz w:val="24"/>
          <w:szCs w:val="24"/>
        </w:rPr>
        <w:t>using a nationally representative cross-sectional survey</w:t>
      </w:r>
      <w:r w:rsidR="00B35A89" w:rsidRPr="00AD597A">
        <w:rPr>
          <w:sz w:val="24"/>
          <w:szCs w:val="24"/>
        </w:rPr>
        <w:t>. Their analysis revealed a relatively high prevalence of mental health disorders compared to international estimates, with 42.5% of the sample meeting the criteria for a disorder and 11.1% reporting a lifetime history of attempted suicide. The study identified younger age, shift work, and exposure to trauma as independent risk factors for mental health disorders, while university attendance was associated with a lower likelihood of having a disorder.</w:t>
      </w:r>
      <w:r w:rsidR="00E802A9" w:rsidRPr="00AD597A">
        <w:rPr>
          <w:sz w:val="24"/>
          <w:szCs w:val="24"/>
        </w:rPr>
        <w:t xml:space="preserve"> </w:t>
      </w:r>
      <w:r w:rsidR="006467DD" w:rsidRPr="00AD597A">
        <w:rPr>
          <w:sz w:val="24"/>
          <w:szCs w:val="24"/>
        </w:rPr>
        <w:t xml:space="preserve">On the other hand, the most recent 2024 </w:t>
      </w:r>
      <w:r w:rsidR="006467DD" w:rsidRPr="00AD597A">
        <w:rPr>
          <w:i/>
          <w:iCs/>
          <w:sz w:val="24"/>
          <w:szCs w:val="24"/>
        </w:rPr>
        <w:t>Healthy Ireland</w:t>
      </w:r>
      <w:r w:rsidR="006467DD" w:rsidRPr="00AD597A">
        <w:rPr>
          <w:sz w:val="24"/>
          <w:szCs w:val="24"/>
        </w:rPr>
        <w:t xml:space="preserve"> survey indicates that the proportion of the population experiencing probable mental health problems (12%)</w:t>
      </w:r>
      <w:r w:rsidR="00B91E96">
        <w:rPr>
          <w:sz w:val="24"/>
          <w:szCs w:val="24"/>
        </w:rPr>
        <w:t>,</w:t>
      </w:r>
      <w:r w:rsidR="006467DD" w:rsidRPr="00AD597A">
        <w:rPr>
          <w:sz w:val="24"/>
          <w:szCs w:val="24"/>
        </w:rPr>
        <w:t xml:space="preserve"> remains elevated compared to the 2016 baseline (10%). A notable increase in probable mental health problems was observed during the pandemic in 2021(15%). While this figure decreased by three percentage points in 2023 (12%), it has since plateaued </w:t>
      </w:r>
      <w:r w:rsidR="00AE7679" w:rsidRPr="00AD597A">
        <w:rPr>
          <w:sz w:val="24"/>
          <w:szCs w:val="24"/>
        </w:rPr>
        <w:fldChar w:fldCharType="begin" w:fldLock="1"/>
      </w:r>
      <w:r w:rsidR="002716B7">
        <w:rPr>
          <w:sz w:val="24"/>
          <w:szCs w:val="24"/>
        </w:rPr>
        <w:instrText>ADDIN CSL_CITATION {"citationItems":[{"id":"ITEM-1","itemData":{"author":[{"dropping-particle":"","family":"Government of Ireland","given":"","non-dropping-particle":"","parse-names":false,"suffix":""}],"id":"ITEM-1","issued":{"date-parts":[["2024"]]},"publisher":"Department of Health","title":"Healthy Ireland Survey 2024 Summary Report","type":"book"},"uris":["http://www.mendeley.com/documents/?uuid=640152dc-460b-4bd8-be99-7bc505314689"]}],"mendeley":{"formattedCitation":"(Government of Ireland, 2024)","plainTextFormattedCitation":"(Government of Ireland, 2024)","previouslyFormattedCitation":"(Government of Ireland, 2024)"},"properties":{"noteIndex":0},"schema":"https://github.com/citation-style-language/schema/raw/master/csl-citation.json"}</w:instrText>
      </w:r>
      <w:r w:rsidR="00AE7679" w:rsidRPr="00AD597A">
        <w:rPr>
          <w:sz w:val="24"/>
          <w:szCs w:val="24"/>
        </w:rPr>
        <w:fldChar w:fldCharType="separate"/>
      </w:r>
      <w:r w:rsidR="00AE7679" w:rsidRPr="00AD597A">
        <w:rPr>
          <w:noProof/>
          <w:sz w:val="24"/>
          <w:szCs w:val="24"/>
        </w:rPr>
        <w:t>(Government of Ireland, 2024)</w:t>
      </w:r>
      <w:r w:rsidR="00AE7679" w:rsidRPr="00AD597A">
        <w:rPr>
          <w:sz w:val="24"/>
          <w:szCs w:val="24"/>
        </w:rPr>
        <w:fldChar w:fldCharType="end"/>
      </w:r>
      <w:r w:rsidR="006467DD" w:rsidRPr="00AD597A">
        <w:rPr>
          <w:sz w:val="24"/>
          <w:szCs w:val="24"/>
        </w:rPr>
        <w:t>.</w:t>
      </w:r>
    </w:p>
    <w:p w14:paraId="36F3DBEF" w14:textId="49127451" w:rsidR="00B35A89" w:rsidRPr="00AD597A" w:rsidRDefault="00C209E7" w:rsidP="009F77B4">
      <w:pPr>
        <w:spacing w:line="360" w:lineRule="auto"/>
        <w:rPr>
          <w:sz w:val="24"/>
          <w:szCs w:val="24"/>
        </w:rPr>
      </w:pPr>
      <w:r w:rsidRPr="00AD597A">
        <w:rPr>
          <w:sz w:val="24"/>
          <w:szCs w:val="24"/>
        </w:rPr>
        <w:t xml:space="preserve">In summary, this review has explored the multifaceted nature of loneliness, </w:t>
      </w:r>
      <w:r w:rsidR="00B91E96">
        <w:rPr>
          <w:sz w:val="24"/>
          <w:szCs w:val="24"/>
        </w:rPr>
        <w:t>documenting</w:t>
      </w:r>
      <w:r w:rsidRPr="00AD597A">
        <w:rPr>
          <w:sz w:val="24"/>
          <w:szCs w:val="24"/>
        </w:rPr>
        <w:t xml:space="preserve"> contributing factors, its impact on mental health, and the specific evidence base within the Irish context. Internationally, loneliness is understood as a complex experience shaped by individual, social, economic, and technological factors, with the quality and quantity of social relationships being particularly salient. </w:t>
      </w:r>
      <w:r w:rsidR="005724C6">
        <w:rPr>
          <w:sz w:val="24"/>
          <w:szCs w:val="24"/>
        </w:rPr>
        <w:t>Gender, age, s</w:t>
      </w:r>
      <w:r w:rsidRPr="00AD597A">
        <w:rPr>
          <w:sz w:val="24"/>
          <w:szCs w:val="24"/>
        </w:rPr>
        <w:t>ocioeconomic status</w:t>
      </w:r>
      <w:r w:rsidR="005724C6">
        <w:rPr>
          <w:sz w:val="24"/>
          <w:szCs w:val="24"/>
        </w:rPr>
        <w:t xml:space="preserve"> and</w:t>
      </w:r>
      <w:r w:rsidRPr="00AD597A">
        <w:rPr>
          <w:sz w:val="24"/>
          <w:szCs w:val="24"/>
        </w:rPr>
        <w:t xml:space="preserve"> rurality also play significant roles. The influence of digital interaction on loneliness remains a subject of debate. Critically, loneliness has a demonstrably detrimental impact on mental health, contributing to depression and other psychological distress, often in a reciprocal relationship. The COVID-19 pandemic highlighted this vulnerability, particularly amongst those with lower socioeconomic status. Irish research on loneliness has largely focused on older adults, revealing the prevalence of both loneliness and social isolation, and exploring their association with factors such as age, health, marital status, and rural living. Studies using TILDA data have been particularly informative, highlighting the complex interplay between loneliness, social isolation, and mental health outcomes. Research on loneliness among Irish adolescents and young adults suggests a peak during early adolescence, with contributing factors including sleep, life transitions and societal expectations. Studies have also examined loneliness in other groups, such as new mothers and the LGBT community. Recent national data reveals a complex picture, with varying estimates of loneliness prevalence and a fluctuating but persistently elevated rate of probable mental health problems. These findings underscore the need for a nuanced understanding of loneliness in Ireland, considering the interplay of diverse contributing factors and their impact on different population groups.</w:t>
      </w:r>
    </w:p>
    <w:p w14:paraId="71663531" w14:textId="08F4078E" w:rsidR="0092054F" w:rsidRPr="00AD597A" w:rsidRDefault="009A3234" w:rsidP="00AD597A">
      <w:pPr>
        <w:rPr>
          <w:b/>
          <w:bCs/>
          <w:sz w:val="24"/>
          <w:szCs w:val="24"/>
        </w:rPr>
      </w:pPr>
      <w:r w:rsidRPr="00AD597A">
        <w:rPr>
          <w:b/>
          <w:bCs/>
          <w:sz w:val="24"/>
          <w:szCs w:val="24"/>
        </w:rPr>
        <w:br w:type="page"/>
      </w:r>
      <w:r w:rsidR="00072075" w:rsidRPr="00AD597A">
        <w:rPr>
          <w:b/>
          <w:bCs/>
          <w:sz w:val="24"/>
          <w:szCs w:val="24"/>
        </w:rPr>
        <w:t>3. Methods</w:t>
      </w:r>
    </w:p>
    <w:p w14:paraId="384A055F" w14:textId="3BC46AD9" w:rsidR="001551F2" w:rsidRPr="00AD597A" w:rsidRDefault="00D8007C" w:rsidP="00D8007C">
      <w:pPr>
        <w:spacing w:line="360" w:lineRule="auto"/>
        <w:rPr>
          <w:sz w:val="24"/>
          <w:szCs w:val="24"/>
        </w:rPr>
      </w:pPr>
      <w:r w:rsidRPr="00AD597A">
        <w:rPr>
          <w:sz w:val="24"/>
          <w:szCs w:val="24"/>
        </w:rPr>
        <w:t xml:space="preserve">This research uses two waves (2021 and 2023) of </w:t>
      </w:r>
      <w:r w:rsidRPr="007114E8">
        <w:rPr>
          <w:i/>
          <w:iCs/>
          <w:sz w:val="24"/>
          <w:szCs w:val="24"/>
        </w:rPr>
        <w:t>Healthy Ireland</w:t>
      </w:r>
      <w:r w:rsidRPr="00AD597A">
        <w:rPr>
          <w:sz w:val="24"/>
          <w:szCs w:val="24"/>
        </w:rPr>
        <w:t xml:space="preserve">, a nationally representative telephone survey of the Irish population aged 15 and over </w:t>
      </w:r>
      <w:r w:rsidRPr="00AD597A">
        <w:rPr>
          <w:sz w:val="24"/>
          <w:szCs w:val="24"/>
        </w:rPr>
        <w:fldChar w:fldCharType="begin" w:fldLock="1"/>
      </w:r>
      <w:r w:rsidR="004648C4">
        <w:rPr>
          <w:sz w:val="24"/>
          <w:szCs w:val="24"/>
        </w:rPr>
        <w:instrText>ADDIN CSL_CITATION {"citationItems":[{"id":"ITEM-1","itemData":{"author":[{"dropping-particle":"","family":"Government of Ireland","given":"","non-dropping-particle":"","parse-names":false,"suffix":""}],"id":"ITEM-1","issued":{"date-parts":[["2023"]]},"publisher":"Department of Health","title":"Healthy Ireland Survey 2023 Summary Report","type":"book"},"uris":["http://www.mendeley.com/documents/?uuid=fc573f71-16c3-4a07-a70c-2191a5d8fed0"]},{"id":"ITEM-2","itemData":{"author":[{"dropping-particle":"","family":"Government of Ireland","given":"","non-dropping-particle":"","parse-names":false,"suffix":""}],"id":"ITEM-2","issued":{"date-parts":[["2021"]]},"publisher":"Department of Health","title":"Healthy Ireland Survey 2021 Summary Report Contents","type":"book"},"uris":["http://www.mendeley.com/documents/?uuid=d1b614bc-ab94-406f-8a36-3ff1e0a9fb0e"]}],"mendeley":{"formattedCitation":"(Government of Ireland, 2023, 2021)","plainTextFormattedCitation":"(Government of Ireland, 2023, 2021)","previouslyFormattedCitation":"(Government of Ireland, 2023, 2021)"},"properties":{"noteIndex":0},"schema":"https://github.com/citation-style-language/schema/raw/master/csl-citation.json"}</w:instrText>
      </w:r>
      <w:r w:rsidRPr="00AD597A">
        <w:rPr>
          <w:sz w:val="24"/>
          <w:szCs w:val="24"/>
        </w:rPr>
        <w:fldChar w:fldCharType="separate"/>
      </w:r>
      <w:r w:rsidR="00A066FF" w:rsidRPr="00A066FF">
        <w:rPr>
          <w:noProof/>
          <w:sz w:val="24"/>
          <w:szCs w:val="24"/>
        </w:rPr>
        <w:t>(Government of Ireland, 2023, 2021)</w:t>
      </w:r>
      <w:r w:rsidRPr="00AD597A">
        <w:rPr>
          <w:sz w:val="24"/>
          <w:szCs w:val="24"/>
        </w:rPr>
        <w:fldChar w:fldCharType="end"/>
      </w:r>
      <w:r w:rsidRPr="00AD597A">
        <w:rPr>
          <w:sz w:val="24"/>
          <w:szCs w:val="24"/>
        </w:rPr>
        <w:t xml:space="preserve">. </w:t>
      </w:r>
      <w:r w:rsidR="001600EF">
        <w:rPr>
          <w:sz w:val="24"/>
          <w:szCs w:val="24"/>
        </w:rPr>
        <w:t>The survey was c</w:t>
      </w:r>
      <w:r w:rsidR="001600EF" w:rsidRPr="001600EF">
        <w:rPr>
          <w:sz w:val="24"/>
          <w:szCs w:val="24"/>
        </w:rPr>
        <w:t xml:space="preserve">ommissioned by </w:t>
      </w:r>
      <w:r w:rsidR="00532277">
        <w:rPr>
          <w:sz w:val="24"/>
          <w:szCs w:val="24"/>
        </w:rPr>
        <w:t xml:space="preserve">the </w:t>
      </w:r>
      <w:r w:rsidR="001600EF" w:rsidRPr="001600EF">
        <w:rPr>
          <w:sz w:val="24"/>
          <w:szCs w:val="24"/>
        </w:rPr>
        <w:t>Department of Health</w:t>
      </w:r>
      <w:r w:rsidR="001600EF">
        <w:rPr>
          <w:sz w:val="24"/>
          <w:szCs w:val="24"/>
        </w:rPr>
        <w:t xml:space="preserve">, with ethical approval from the </w:t>
      </w:r>
      <w:r w:rsidR="001600EF" w:rsidRPr="00AD597A">
        <w:rPr>
          <w:sz w:val="24"/>
          <w:szCs w:val="24"/>
        </w:rPr>
        <w:t>Royal College of Physicians of Ireland</w:t>
      </w:r>
      <w:r w:rsidR="001600EF">
        <w:rPr>
          <w:sz w:val="24"/>
          <w:szCs w:val="24"/>
        </w:rPr>
        <w:t>,</w:t>
      </w:r>
      <w:r w:rsidR="001600EF" w:rsidRPr="00AD597A">
        <w:rPr>
          <w:sz w:val="24"/>
          <w:szCs w:val="24"/>
        </w:rPr>
        <w:t xml:space="preserve"> </w:t>
      </w:r>
      <w:r w:rsidR="001600EF">
        <w:rPr>
          <w:sz w:val="24"/>
          <w:szCs w:val="24"/>
        </w:rPr>
        <w:t>and</w:t>
      </w:r>
      <w:r w:rsidR="001600EF" w:rsidRPr="001600EF">
        <w:rPr>
          <w:sz w:val="24"/>
          <w:szCs w:val="24"/>
        </w:rPr>
        <w:t xml:space="preserve"> survey fieldwork </w:t>
      </w:r>
      <w:r w:rsidR="001600EF">
        <w:rPr>
          <w:sz w:val="24"/>
          <w:szCs w:val="24"/>
        </w:rPr>
        <w:t xml:space="preserve">was </w:t>
      </w:r>
      <w:r w:rsidR="001600EF" w:rsidRPr="001600EF">
        <w:rPr>
          <w:sz w:val="24"/>
          <w:szCs w:val="24"/>
        </w:rPr>
        <w:t>conducted by Ipsos MRBI</w:t>
      </w:r>
      <w:r w:rsidR="001600EF">
        <w:rPr>
          <w:sz w:val="24"/>
          <w:szCs w:val="24"/>
        </w:rPr>
        <w:t>.</w:t>
      </w:r>
      <w:r w:rsidR="001600EF" w:rsidRPr="001600EF">
        <w:rPr>
          <w:sz w:val="24"/>
          <w:szCs w:val="24"/>
        </w:rPr>
        <w:t xml:space="preserve"> </w:t>
      </w:r>
      <w:r w:rsidRPr="00AD597A">
        <w:rPr>
          <w:sz w:val="24"/>
          <w:szCs w:val="24"/>
        </w:rPr>
        <w:t>The 2021 wave marked the first time the survey, which began in 2015, included questions on loneliness and social connectedness</w:t>
      </w:r>
      <w:r w:rsidR="0049135B" w:rsidRPr="00AD597A">
        <w:rPr>
          <w:sz w:val="24"/>
          <w:szCs w:val="24"/>
        </w:rPr>
        <w:t>, and these questions feature every two waves</w:t>
      </w:r>
      <w:r w:rsidRPr="00AD597A">
        <w:rPr>
          <w:sz w:val="24"/>
          <w:szCs w:val="24"/>
        </w:rPr>
        <w:t xml:space="preserve">. </w:t>
      </w:r>
      <w:r w:rsidR="00743616">
        <w:rPr>
          <w:sz w:val="24"/>
          <w:szCs w:val="24"/>
        </w:rPr>
        <w:t xml:space="preserve">The 2021 data was collected in </w:t>
      </w:r>
      <w:r w:rsidR="00270D11">
        <w:rPr>
          <w:sz w:val="24"/>
          <w:szCs w:val="24"/>
        </w:rPr>
        <w:t xml:space="preserve">the period </w:t>
      </w:r>
      <w:r w:rsidR="00743616" w:rsidRPr="00743616">
        <w:rPr>
          <w:sz w:val="24"/>
          <w:szCs w:val="24"/>
        </w:rPr>
        <w:t>Oct</w:t>
      </w:r>
      <w:r w:rsidR="00270D11">
        <w:rPr>
          <w:sz w:val="24"/>
          <w:szCs w:val="24"/>
        </w:rPr>
        <w:t>ober</w:t>
      </w:r>
      <w:r w:rsidR="00743616" w:rsidRPr="00743616">
        <w:rPr>
          <w:sz w:val="24"/>
          <w:szCs w:val="24"/>
        </w:rPr>
        <w:t xml:space="preserve"> 2020 </w:t>
      </w:r>
      <w:r w:rsidR="00270D11">
        <w:rPr>
          <w:sz w:val="24"/>
          <w:szCs w:val="24"/>
        </w:rPr>
        <w:t>to</w:t>
      </w:r>
      <w:r w:rsidR="00743616" w:rsidRPr="00743616">
        <w:rPr>
          <w:sz w:val="24"/>
          <w:szCs w:val="24"/>
        </w:rPr>
        <w:t xml:space="preserve"> March 202</w:t>
      </w:r>
      <w:r w:rsidR="00306307">
        <w:rPr>
          <w:sz w:val="24"/>
          <w:szCs w:val="24"/>
        </w:rPr>
        <w:t>1</w:t>
      </w:r>
      <w:r w:rsidR="00270D11">
        <w:rPr>
          <w:sz w:val="24"/>
          <w:szCs w:val="24"/>
        </w:rPr>
        <w:t xml:space="preserve">, a period marked by significant </w:t>
      </w:r>
      <w:r w:rsidR="00743616" w:rsidRPr="00743616">
        <w:rPr>
          <w:sz w:val="24"/>
          <w:szCs w:val="24"/>
        </w:rPr>
        <w:t>COVID-restrictions</w:t>
      </w:r>
      <w:r w:rsidR="00DF07BB">
        <w:rPr>
          <w:sz w:val="24"/>
          <w:szCs w:val="24"/>
        </w:rPr>
        <w:t xml:space="preserve">, </w:t>
      </w:r>
      <w:r w:rsidR="008B052D">
        <w:rPr>
          <w:sz w:val="24"/>
          <w:szCs w:val="24"/>
        </w:rPr>
        <w:t>recruiting</w:t>
      </w:r>
      <w:r w:rsidR="00DF07BB">
        <w:rPr>
          <w:sz w:val="24"/>
          <w:szCs w:val="24"/>
        </w:rPr>
        <w:t xml:space="preserve"> </w:t>
      </w:r>
      <w:r w:rsidR="00DF07BB" w:rsidRPr="00DF07BB">
        <w:rPr>
          <w:sz w:val="24"/>
          <w:szCs w:val="24"/>
        </w:rPr>
        <w:t>7,454 participants (</w:t>
      </w:r>
      <w:r w:rsidR="00DF07BB">
        <w:rPr>
          <w:sz w:val="24"/>
          <w:szCs w:val="24"/>
        </w:rPr>
        <w:t xml:space="preserve">achieving a </w:t>
      </w:r>
      <w:r w:rsidR="00DF07BB" w:rsidRPr="00DF07BB">
        <w:rPr>
          <w:sz w:val="24"/>
          <w:szCs w:val="24"/>
        </w:rPr>
        <w:t>51% response</w:t>
      </w:r>
      <w:r w:rsidR="00DF07BB">
        <w:rPr>
          <w:sz w:val="24"/>
          <w:szCs w:val="24"/>
        </w:rPr>
        <w:t xml:space="preserve"> rate</w:t>
      </w:r>
      <w:r w:rsidR="00DF07BB" w:rsidRPr="00DF07BB">
        <w:rPr>
          <w:sz w:val="24"/>
          <w:szCs w:val="24"/>
        </w:rPr>
        <w:t>)</w:t>
      </w:r>
      <w:r w:rsidR="00270D11">
        <w:rPr>
          <w:sz w:val="24"/>
          <w:szCs w:val="24"/>
        </w:rPr>
        <w:t xml:space="preserve">. </w:t>
      </w:r>
      <w:r w:rsidRPr="00AD597A">
        <w:rPr>
          <w:sz w:val="24"/>
          <w:szCs w:val="24"/>
        </w:rPr>
        <w:t>The 2023 wave (ninth in the series), collected data from October 2022 to April 2023, comprising 7,411 interviews</w:t>
      </w:r>
      <w:r w:rsidR="001551F2" w:rsidRPr="00AD597A">
        <w:rPr>
          <w:sz w:val="24"/>
          <w:szCs w:val="24"/>
        </w:rPr>
        <w:t xml:space="preserve"> (50% participation)</w:t>
      </w:r>
      <w:r w:rsidRPr="00AD597A">
        <w:rPr>
          <w:sz w:val="24"/>
          <w:szCs w:val="24"/>
        </w:rPr>
        <w:t xml:space="preserve">. </w:t>
      </w:r>
      <w:r w:rsidR="00E122D1">
        <w:rPr>
          <w:sz w:val="24"/>
          <w:szCs w:val="24"/>
        </w:rPr>
        <w:t>The d</w:t>
      </w:r>
      <w:r w:rsidR="0035412D" w:rsidRPr="00AD597A">
        <w:rPr>
          <w:sz w:val="24"/>
          <w:szCs w:val="24"/>
        </w:rPr>
        <w:t xml:space="preserve">ata </w:t>
      </w:r>
      <w:r w:rsidR="00E122D1">
        <w:rPr>
          <w:sz w:val="24"/>
          <w:szCs w:val="24"/>
        </w:rPr>
        <w:t>is</w:t>
      </w:r>
      <w:r w:rsidR="0035412D" w:rsidRPr="00AD597A">
        <w:rPr>
          <w:sz w:val="24"/>
          <w:szCs w:val="24"/>
        </w:rPr>
        <w:t xml:space="preserve"> available to other researchers upon application to the </w:t>
      </w:r>
      <w:r w:rsidR="00C04CF4">
        <w:rPr>
          <w:sz w:val="24"/>
          <w:szCs w:val="24"/>
        </w:rPr>
        <w:t xml:space="preserve">Irish Social </w:t>
      </w:r>
      <w:r w:rsidR="0072791E">
        <w:rPr>
          <w:sz w:val="24"/>
          <w:szCs w:val="24"/>
        </w:rPr>
        <w:t>Science Data Archive</w:t>
      </w:r>
      <w:r w:rsidRPr="00AD597A">
        <w:rPr>
          <w:sz w:val="24"/>
          <w:szCs w:val="24"/>
        </w:rPr>
        <w:t xml:space="preserve">. To address potential bias from differential response rates (e.g., lower participation among young men), survey weights were applied. </w:t>
      </w:r>
      <w:r w:rsidR="006B7252" w:rsidRPr="00AD597A">
        <w:rPr>
          <w:sz w:val="24"/>
          <w:szCs w:val="24"/>
        </w:rPr>
        <w:t>The weights</w:t>
      </w:r>
      <w:r w:rsidRPr="00AD597A">
        <w:rPr>
          <w:sz w:val="24"/>
          <w:szCs w:val="24"/>
        </w:rPr>
        <w:t xml:space="preserve"> </w:t>
      </w:r>
      <w:r w:rsidR="006B7252">
        <w:rPr>
          <w:sz w:val="24"/>
          <w:szCs w:val="24"/>
        </w:rPr>
        <w:t xml:space="preserve">were </w:t>
      </w:r>
      <w:r w:rsidRPr="00AD597A">
        <w:rPr>
          <w:sz w:val="24"/>
          <w:szCs w:val="24"/>
        </w:rPr>
        <w:t xml:space="preserve">based on </w:t>
      </w:r>
      <w:r w:rsidR="006B7252" w:rsidRPr="00AD597A">
        <w:rPr>
          <w:sz w:val="24"/>
          <w:szCs w:val="24"/>
        </w:rPr>
        <w:t xml:space="preserve">Central Statistics Office </w:t>
      </w:r>
      <w:r w:rsidR="006B7252">
        <w:rPr>
          <w:sz w:val="24"/>
          <w:szCs w:val="24"/>
        </w:rPr>
        <w:t xml:space="preserve">information including the </w:t>
      </w:r>
      <w:r w:rsidRPr="00AD597A">
        <w:rPr>
          <w:sz w:val="24"/>
          <w:szCs w:val="24"/>
        </w:rPr>
        <w:t xml:space="preserve">2022 Census, </w:t>
      </w:r>
      <w:r w:rsidR="006B7252">
        <w:rPr>
          <w:sz w:val="24"/>
          <w:szCs w:val="24"/>
        </w:rPr>
        <w:t xml:space="preserve">and </w:t>
      </w:r>
      <w:r w:rsidRPr="00AD597A">
        <w:rPr>
          <w:sz w:val="24"/>
          <w:szCs w:val="24"/>
        </w:rPr>
        <w:t>adjusted for age by gender, education, work status, and region, ensuring the sample be</w:t>
      </w:r>
      <w:r w:rsidR="006B08E1">
        <w:rPr>
          <w:sz w:val="24"/>
          <w:szCs w:val="24"/>
        </w:rPr>
        <w:t>st</w:t>
      </w:r>
      <w:r w:rsidRPr="00AD597A">
        <w:rPr>
          <w:sz w:val="24"/>
          <w:szCs w:val="24"/>
        </w:rPr>
        <w:t xml:space="preserve"> reflects the population.</w:t>
      </w:r>
      <w:r w:rsidR="001551F2" w:rsidRPr="00AD597A">
        <w:rPr>
          <w:sz w:val="24"/>
          <w:szCs w:val="24"/>
        </w:rPr>
        <w:t xml:space="preserve"> </w:t>
      </w:r>
    </w:p>
    <w:p w14:paraId="7803202C" w14:textId="0284060C" w:rsidR="00FD6916" w:rsidRPr="00AD597A" w:rsidRDefault="006C2DF9" w:rsidP="00FD6916">
      <w:pPr>
        <w:spacing w:line="360" w:lineRule="auto"/>
        <w:rPr>
          <w:sz w:val="24"/>
          <w:szCs w:val="24"/>
        </w:rPr>
      </w:pPr>
      <w:r w:rsidRPr="00AD597A">
        <w:rPr>
          <w:sz w:val="24"/>
          <w:szCs w:val="24"/>
        </w:rPr>
        <w:t xml:space="preserve">The first research question </w:t>
      </w:r>
      <w:r w:rsidR="007114E8">
        <w:rPr>
          <w:sz w:val="24"/>
          <w:szCs w:val="24"/>
        </w:rPr>
        <w:t xml:space="preserve">of this study </w:t>
      </w:r>
      <w:r w:rsidRPr="00AD597A">
        <w:rPr>
          <w:sz w:val="24"/>
          <w:szCs w:val="24"/>
        </w:rPr>
        <w:t>is concerned with levels of l</w:t>
      </w:r>
      <w:r w:rsidR="00FD6916" w:rsidRPr="00AD597A">
        <w:rPr>
          <w:sz w:val="24"/>
          <w:szCs w:val="24"/>
        </w:rPr>
        <w:t>oneliness</w:t>
      </w:r>
      <w:r w:rsidRPr="00AD597A">
        <w:rPr>
          <w:sz w:val="24"/>
          <w:szCs w:val="24"/>
        </w:rPr>
        <w:t xml:space="preserve"> </w:t>
      </w:r>
      <w:r w:rsidR="006B08E1">
        <w:rPr>
          <w:sz w:val="24"/>
          <w:szCs w:val="24"/>
        </w:rPr>
        <w:t>in Ireland</w:t>
      </w:r>
      <w:r w:rsidRPr="00AD597A">
        <w:rPr>
          <w:sz w:val="24"/>
          <w:szCs w:val="24"/>
        </w:rPr>
        <w:t xml:space="preserve">. </w:t>
      </w:r>
      <w:r w:rsidRPr="007114E8">
        <w:rPr>
          <w:i/>
          <w:iCs/>
          <w:sz w:val="24"/>
          <w:szCs w:val="24"/>
        </w:rPr>
        <w:t>Healt</w:t>
      </w:r>
      <w:r w:rsidR="008C3DE9">
        <w:rPr>
          <w:i/>
          <w:iCs/>
          <w:sz w:val="24"/>
          <w:szCs w:val="24"/>
        </w:rPr>
        <w:t>h</w:t>
      </w:r>
      <w:r w:rsidRPr="007114E8">
        <w:rPr>
          <w:i/>
          <w:iCs/>
          <w:sz w:val="24"/>
          <w:szCs w:val="24"/>
        </w:rPr>
        <w:t>y Ireland</w:t>
      </w:r>
      <w:r w:rsidRPr="00AD597A">
        <w:rPr>
          <w:sz w:val="24"/>
          <w:szCs w:val="24"/>
        </w:rPr>
        <w:t xml:space="preserve"> participants were asked to report </w:t>
      </w:r>
      <w:r w:rsidR="005F2D21" w:rsidRPr="00AD597A">
        <w:rPr>
          <w:sz w:val="24"/>
          <w:szCs w:val="24"/>
        </w:rPr>
        <w:t>‘H</w:t>
      </w:r>
      <w:r w:rsidR="002E66B5" w:rsidRPr="00AD597A">
        <w:rPr>
          <w:sz w:val="24"/>
          <w:szCs w:val="24"/>
        </w:rPr>
        <w:t>ave you</w:t>
      </w:r>
      <w:r w:rsidR="005F2D21" w:rsidRPr="00AD597A">
        <w:rPr>
          <w:sz w:val="24"/>
          <w:szCs w:val="24"/>
        </w:rPr>
        <w:t xml:space="preserve"> often felt </w:t>
      </w:r>
      <w:r w:rsidR="002E66B5" w:rsidRPr="00AD597A">
        <w:rPr>
          <w:sz w:val="24"/>
          <w:szCs w:val="24"/>
        </w:rPr>
        <w:t>lonely</w:t>
      </w:r>
      <w:r w:rsidR="005F2D21" w:rsidRPr="00AD597A">
        <w:rPr>
          <w:sz w:val="24"/>
          <w:szCs w:val="24"/>
        </w:rPr>
        <w:t xml:space="preserve"> in the previous four weeks?’ with five possible responses,</w:t>
      </w:r>
      <w:r w:rsidRPr="00AD597A">
        <w:rPr>
          <w:sz w:val="24"/>
          <w:szCs w:val="24"/>
        </w:rPr>
        <w:t xml:space="preserve"> </w:t>
      </w:r>
      <w:r w:rsidR="002E66B5" w:rsidRPr="00AD597A">
        <w:rPr>
          <w:sz w:val="24"/>
          <w:szCs w:val="24"/>
        </w:rPr>
        <w:t>‘O</w:t>
      </w:r>
      <w:r w:rsidR="00FD6916" w:rsidRPr="00AD597A">
        <w:rPr>
          <w:sz w:val="24"/>
          <w:szCs w:val="24"/>
        </w:rPr>
        <w:t>ften or always</w:t>
      </w:r>
      <w:r w:rsidR="002E66B5" w:rsidRPr="00AD597A">
        <w:rPr>
          <w:sz w:val="24"/>
          <w:szCs w:val="24"/>
        </w:rPr>
        <w:t>’,</w:t>
      </w:r>
      <w:r w:rsidR="00FD6916" w:rsidRPr="00AD597A">
        <w:rPr>
          <w:sz w:val="24"/>
          <w:szCs w:val="24"/>
        </w:rPr>
        <w:t xml:space="preserve"> </w:t>
      </w:r>
      <w:r w:rsidR="002E66B5" w:rsidRPr="00AD597A">
        <w:rPr>
          <w:sz w:val="24"/>
          <w:szCs w:val="24"/>
        </w:rPr>
        <w:t>‘S</w:t>
      </w:r>
      <w:r w:rsidR="00FD6916" w:rsidRPr="00AD597A">
        <w:rPr>
          <w:sz w:val="24"/>
          <w:szCs w:val="24"/>
        </w:rPr>
        <w:t>ome of the time</w:t>
      </w:r>
      <w:r w:rsidR="002E66B5" w:rsidRPr="00AD597A">
        <w:rPr>
          <w:sz w:val="24"/>
          <w:szCs w:val="24"/>
        </w:rPr>
        <w:t>’</w:t>
      </w:r>
      <w:r w:rsidR="001D3122" w:rsidRPr="00AD597A">
        <w:rPr>
          <w:sz w:val="24"/>
          <w:szCs w:val="24"/>
        </w:rPr>
        <w:t xml:space="preserve">, ‘Occasionally’, ‘Hardly ever’ or ‘Never’. </w:t>
      </w:r>
      <w:r w:rsidR="00341042" w:rsidRPr="00AD597A">
        <w:rPr>
          <w:sz w:val="24"/>
          <w:szCs w:val="24"/>
        </w:rPr>
        <w:t xml:space="preserve">Two binary outcome variables </w:t>
      </w:r>
      <w:r w:rsidR="007114E8">
        <w:rPr>
          <w:sz w:val="24"/>
          <w:szCs w:val="24"/>
        </w:rPr>
        <w:t>were</w:t>
      </w:r>
      <w:r w:rsidR="00341042" w:rsidRPr="00AD597A">
        <w:rPr>
          <w:sz w:val="24"/>
          <w:szCs w:val="24"/>
        </w:rPr>
        <w:t xml:space="preserve"> created from the </w:t>
      </w:r>
      <w:r w:rsidR="006C7C39" w:rsidRPr="00AD597A">
        <w:rPr>
          <w:sz w:val="24"/>
          <w:szCs w:val="24"/>
        </w:rPr>
        <w:t>responses to this question</w:t>
      </w:r>
      <w:r w:rsidR="00040F44" w:rsidRPr="00AD597A">
        <w:rPr>
          <w:sz w:val="24"/>
          <w:szCs w:val="24"/>
        </w:rPr>
        <w:t>.</w:t>
      </w:r>
      <w:r w:rsidR="006C7C39" w:rsidRPr="00AD597A">
        <w:rPr>
          <w:sz w:val="24"/>
          <w:szCs w:val="24"/>
        </w:rPr>
        <w:t xml:space="preserve"> </w:t>
      </w:r>
      <w:r w:rsidR="00040F44" w:rsidRPr="00AD597A">
        <w:rPr>
          <w:sz w:val="24"/>
          <w:szCs w:val="24"/>
        </w:rPr>
        <w:t>T</w:t>
      </w:r>
      <w:r w:rsidR="006C7C39" w:rsidRPr="00AD597A">
        <w:rPr>
          <w:sz w:val="24"/>
          <w:szCs w:val="24"/>
        </w:rPr>
        <w:t>he first</w:t>
      </w:r>
      <w:r w:rsidR="00040F44" w:rsidRPr="00AD597A">
        <w:rPr>
          <w:sz w:val="24"/>
          <w:szCs w:val="24"/>
        </w:rPr>
        <w:t>,</w:t>
      </w:r>
      <w:r w:rsidR="006C7C39" w:rsidRPr="00AD597A">
        <w:rPr>
          <w:sz w:val="24"/>
          <w:szCs w:val="24"/>
        </w:rPr>
        <w:t xml:space="preserve"> ‘Often/always lonely’ </w:t>
      </w:r>
      <w:r w:rsidR="007114E8">
        <w:rPr>
          <w:sz w:val="24"/>
          <w:szCs w:val="24"/>
        </w:rPr>
        <w:t>wa</w:t>
      </w:r>
      <w:r w:rsidR="006C7C39" w:rsidRPr="00AD597A">
        <w:rPr>
          <w:sz w:val="24"/>
          <w:szCs w:val="24"/>
        </w:rPr>
        <w:t>s set equal to one where ‘Often or always’ lonely is reported</w:t>
      </w:r>
      <w:r w:rsidR="00040F44" w:rsidRPr="00AD597A">
        <w:rPr>
          <w:sz w:val="24"/>
          <w:szCs w:val="24"/>
        </w:rPr>
        <w:t xml:space="preserve">, zero otherwise. </w:t>
      </w:r>
      <w:r w:rsidR="005A23BC" w:rsidRPr="00AD597A">
        <w:rPr>
          <w:sz w:val="24"/>
          <w:szCs w:val="24"/>
        </w:rPr>
        <w:t xml:space="preserve">This indicates those who experience </w:t>
      </w:r>
      <w:r w:rsidR="00FF396D" w:rsidRPr="00AD597A">
        <w:rPr>
          <w:sz w:val="24"/>
          <w:szCs w:val="24"/>
        </w:rPr>
        <w:t xml:space="preserve">the most acute levels of loneliness. </w:t>
      </w:r>
      <w:r w:rsidR="00040F44" w:rsidRPr="00AD597A">
        <w:rPr>
          <w:sz w:val="24"/>
          <w:szCs w:val="24"/>
        </w:rPr>
        <w:t>A second, ‘Some</w:t>
      </w:r>
      <w:r w:rsidR="000B410C" w:rsidRPr="00AD597A">
        <w:rPr>
          <w:sz w:val="24"/>
          <w:szCs w:val="24"/>
        </w:rPr>
        <w:t xml:space="preserve">times/often/always lonely’ is set equal to one where either ‘Often or always’ or </w:t>
      </w:r>
      <w:r w:rsidR="005A23BC" w:rsidRPr="00AD597A">
        <w:rPr>
          <w:sz w:val="24"/>
          <w:szCs w:val="24"/>
        </w:rPr>
        <w:t>‘Some of the time’</w:t>
      </w:r>
      <w:r w:rsidR="000B410C" w:rsidRPr="00AD597A">
        <w:rPr>
          <w:sz w:val="24"/>
          <w:szCs w:val="24"/>
        </w:rPr>
        <w:t xml:space="preserve"> lonely is reported</w:t>
      </w:r>
      <w:r w:rsidR="005A23BC" w:rsidRPr="00AD597A">
        <w:rPr>
          <w:sz w:val="24"/>
          <w:szCs w:val="24"/>
        </w:rPr>
        <w:t xml:space="preserve">, zero otherwise. </w:t>
      </w:r>
      <w:r w:rsidR="00FF396D" w:rsidRPr="00AD597A">
        <w:rPr>
          <w:sz w:val="24"/>
          <w:szCs w:val="24"/>
        </w:rPr>
        <w:t xml:space="preserve">This second outcome </w:t>
      </w:r>
      <w:r w:rsidR="00736AA8" w:rsidRPr="00AD597A">
        <w:rPr>
          <w:sz w:val="24"/>
          <w:szCs w:val="24"/>
        </w:rPr>
        <w:t>therefore represents</w:t>
      </w:r>
      <w:r w:rsidR="00FF396D" w:rsidRPr="00AD597A">
        <w:rPr>
          <w:sz w:val="24"/>
          <w:szCs w:val="24"/>
        </w:rPr>
        <w:t xml:space="preserve"> </w:t>
      </w:r>
      <w:r w:rsidR="00615C81" w:rsidRPr="00AD597A">
        <w:rPr>
          <w:sz w:val="24"/>
          <w:szCs w:val="24"/>
        </w:rPr>
        <w:t xml:space="preserve">a broader categorisation of loneliness. </w:t>
      </w:r>
    </w:p>
    <w:p w14:paraId="2861D7E3" w14:textId="1DE8A513" w:rsidR="008928BD" w:rsidRPr="00AD597A" w:rsidRDefault="00D20032" w:rsidP="008928BD">
      <w:pPr>
        <w:spacing w:line="360" w:lineRule="auto"/>
        <w:rPr>
          <w:sz w:val="24"/>
          <w:szCs w:val="24"/>
        </w:rPr>
      </w:pPr>
      <w:r w:rsidRPr="00AD597A">
        <w:rPr>
          <w:sz w:val="24"/>
          <w:szCs w:val="24"/>
        </w:rPr>
        <w:t xml:space="preserve">Since the two loneliness variables represent binary dependent variables, logistic regression models </w:t>
      </w:r>
      <w:r w:rsidR="005B39DF" w:rsidRPr="00AD597A">
        <w:rPr>
          <w:sz w:val="24"/>
          <w:szCs w:val="24"/>
        </w:rPr>
        <w:t xml:space="preserve">are employed to examine the factors which </w:t>
      </w:r>
      <w:r w:rsidR="00785EEB" w:rsidRPr="00AD597A">
        <w:rPr>
          <w:sz w:val="24"/>
          <w:szCs w:val="24"/>
        </w:rPr>
        <w:t xml:space="preserve">predict the likelihood of reporting the two loneliness outcomes. </w:t>
      </w:r>
      <w:r w:rsidR="002B74DE" w:rsidRPr="00AD597A">
        <w:rPr>
          <w:sz w:val="24"/>
          <w:szCs w:val="24"/>
        </w:rPr>
        <w:t xml:space="preserve">In the </w:t>
      </w:r>
      <w:r w:rsidR="00D24E10">
        <w:rPr>
          <w:sz w:val="24"/>
          <w:szCs w:val="24"/>
        </w:rPr>
        <w:t>first model specification</w:t>
      </w:r>
      <w:r w:rsidR="002B74DE" w:rsidRPr="00AD597A">
        <w:rPr>
          <w:sz w:val="24"/>
          <w:szCs w:val="24"/>
        </w:rPr>
        <w:t xml:space="preserve"> l</w:t>
      </w:r>
      <w:r w:rsidR="009556C4" w:rsidRPr="00AD597A">
        <w:rPr>
          <w:sz w:val="24"/>
          <w:szCs w:val="24"/>
        </w:rPr>
        <w:t>oneliness</w:t>
      </w:r>
      <w:r w:rsidR="002B74DE" w:rsidRPr="00AD597A">
        <w:rPr>
          <w:sz w:val="24"/>
          <w:szCs w:val="24"/>
        </w:rPr>
        <w:t xml:space="preserve"> is modelled</w:t>
      </w:r>
      <w:r w:rsidR="009556C4" w:rsidRPr="00AD597A">
        <w:rPr>
          <w:sz w:val="24"/>
          <w:szCs w:val="24"/>
        </w:rPr>
        <w:t xml:space="preserve"> </w:t>
      </w:r>
      <w:r w:rsidR="00785EEB" w:rsidRPr="00AD597A">
        <w:rPr>
          <w:sz w:val="24"/>
          <w:szCs w:val="24"/>
        </w:rPr>
        <w:t>as a function a variety of demographic factors (gender, age</w:t>
      </w:r>
      <w:r w:rsidR="001B34A3" w:rsidRPr="00AD597A">
        <w:rPr>
          <w:sz w:val="24"/>
          <w:szCs w:val="24"/>
        </w:rPr>
        <w:t xml:space="preserve"> category</w:t>
      </w:r>
      <w:r w:rsidR="00785EEB" w:rsidRPr="00AD597A">
        <w:rPr>
          <w:sz w:val="24"/>
          <w:szCs w:val="24"/>
        </w:rPr>
        <w:t>, country of birth</w:t>
      </w:r>
      <w:r w:rsidR="001B34A3" w:rsidRPr="00AD597A">
        <w:rPr>
          <w:sz w:val="24"/>
          <w:szCs w:val="24"/>
        </w:rPr>
        <w:t>, region of residence</w:t>
      </w:r>
      <w:r w:rsidR="00785EEB" w:rsidRPr="00AD597A">
        <w:rPr>
          <w:sz w:val="24"/>
          <w:szCs w:val="24"/>
        </w:rPr>
        <w:t xml:space="preserve">), socio-economic characteristics (marital status, </w:t>
      </w:r>
      <w:r w:rsidR="003112C9" w:rsidRPr="00AD597A">
        <w:rPr>
          <w:sz w:val="24"/>
          <w:szCs w:val="24"/>
        </w:rPr>
        <w:t xml:space="preserve">having responsibility for children under 18 years, </w:t>
      </w:r>
      <w:r w:rsidR="00785EEB" w:rsidRPr="00AD597A">
        <w:rPr>
          <w:sz w:val="24"/>
          <w:szCs w:val="24"/>
        </w:rPr>
        <w:t xml:space="preserve">educational attainment, employment status), </w:t>
      </w:r>
      <w:r w:rsidR="00304394" w:rsidRPr="00AD597A">
        <w:rPr>
          <w:sz w:val="24"/>
          <w:szCs w:val="24"/>
        </w:rPr>
        <w:t xml:space="preserve">as well as </w:t>
      </w:r>
      <w:r w:rsidR="00785EEB" w:rsidRPr="00AD597A">
        <w:rPr>
          <w:sz w:val="24"/>
          <w:szCs w:val="24"/>
        </w:rPr>
        <w:t>health and disability</w:t>
      </w:r>
      <w:r w:rsidR="00304394" w:rsidRPr="00AD597A">
        <w:rPr>
          <w:sz w:val="24"/>
          <w:szCs w:val="24"/>
        </w:rPr>
        <w:t xml:space="preserve">. Two other control </w:t>
      </w:r>
      <w:r w:rsidR="002657C7" w:rsidRPr="00AD597A">
        <w:rPr>
          <w:sz w:val="24"/>
          <w:szCs w:val="24"/>
        </w:rPr>
        <w:t>variables which indicate the level</w:t>
      </w:r>
      <w:r w:rsidR="00304394" w:rsidRPr="00AD597A">
        <w:rPr>
          <w:sz w:val="24"/>
          <w:szCs w:val="24"/>
        </w:rPr>
        <w:t xml:space="preserve"> of social participation and </w:t>
      </w:r>
      <w:r w:rsidR="002657C7" w:rsidRPr="00AD597A">
        <w:rPr>
          <w:sz w:val="24"/>
          <w:szCs w:val="24"/>
        </w:rPr>
        <w:t>social connectedness a person has are also afforded by the survey and included in the model, namely participation in social groups and</w:t>
      </w:r>
      <w:r w:rsidR="008928BD" w:rsidRPr="00AD597A">
        <w:rPr>
          <w:sz w:val="24"/>
          <w:szCs w:val="24"/>
        </w:rPr>
        <w:t xml:space="preserve"> whether </w:t>
      </w:r>
      <w:r w:rsidR="00FC148C">
        <w:rPr>
          <w:sz w:val="24"/>
          <w:szCs w:val="24"/>
        </w:rPr>
        <w:t>the respondent report</w:t>
      </w:r>
      <w:r w:rsidR="00440C97">
        <w:rPr>
          <w:sz w:val="24"/>
          <w:szCs w:val="24"/>
        </w:rPr>
        <w:t>s</w:t>
      </w:r>
      <w:r w:rsidR="008928BD" w:rsidRPr="00AD597A">
        <w:rPr>
          <w:sz w:val="24"/>
          <w:szCs w:val="24"/>
        </w:rPr>
        <w:t xml:space="preserve"> </w:t>
      </w:r>
      <w:r w:rsidR="00745777">
        <w:rPr>
          <w:sz w:val="24"/>
          <w:szCs w:val="24"/>
        </w:rPr>
        <w:t xml:space="preserve">they </w:t>
      </w:r>
      <w:r w:rsidR="008928BD" w:rsidRPr="00AD597A">
        <w:rPr>
          <w:sz w:val="24"/>
          <w:szCs w:val="24"/>
        </w:rPr>
        <w:t>have</w:t>
      </w:r>
      <w:r w:rsidR="002649F0" w:rsidRPr="00AD597A">
        <w:rPr>
          <w:sz w:val="24"/>
          <w:szCs w:val="24"/>
        </w:rPr>
        <w:t xml:space="preserve"> few </w:t>
      </w:r>
      <w:r w:rsidR="008928BD" w:rsidRPr="00AD597A">
        <w:rPr>
          <w:sz w:val="24"/>
          <w:szCs w:val="24"/>
        </w:rPr>
        <w:t>people</w:t>
      </w:r>
      <w:r w:rsidR="002649F0" w:rsidRPr="00AD597A">
        <w:rPr>
          <w:sz w:val="24"/>
          <w:szCs w:val="24"/>
        </w:rPr>
        <w:t xml:space="preserve"> to </w:t>
      </w:r>
      <w:r w:rsidR="008928BD" w:rsidRPr="00AD597A">
        <w:rPr>
          <w:sz w:val="24"/>
          <w:szCs w:val="24"/>
        </w:rPr>
        <w:t>count on</w:t>
      </w:r>
      <w:r w:rsidR="002649F0" w:rsidRPr="00AD597A">
        <w:rPr>
          <w:sz w:val="24"/>
          <w:szCs w:val="24"/>
        </w:rPr>
        <w:t xml:space="preserve"> </w:t>
      </w:r>
      <w:r w:rsidR="00440C97">
        <w:rPr>
          <w:sz w:val="24"/>
          <w:szCs w:val="24"/>
        </w:rPr>
        <w:t>(two or less</w:t>
      </w:r>
      <w:r w:rsidR="00440C97" w:rsidRPr="00AD597A">
        <w:rPr>
          <w:sz w:val="24"/>
          <w:szCs w:val="24"/>
        </w:rPr>
        <w:t xml:space="preserve"> people) </w:t>
      </w:r>
      <w:r w:rsidR="008928BD" w:rsidRPr="00AD597A">
        <w:rPr>
          <w:sz w:val="24"/>
          <w:szCs w:val="24"/>
        </w:rPr>
        <w:t xml:space="preserve">if </w:t>
      </w:r>
      <w:r w:rsidR="002649F0" w:rsidRPr="00AD597A">
        <w:rPr>
          <w:sz w:val="24"/>
          <w:szCs w:val="24"/>
        </w:rPr>
        <w:t>they</w:t>
      </w:r>
      <w:r w:rsidR="008928BD" w:rsidRPr="00AD597A">
        <w:rPr>
          <w:sz w:val="24"/>
          <w:szCs w:val="24"/>
        </w:rPr>
        <w:t xml:space="preserve"> have serious personal problems</w:t>
      </w:r>
      <w:r w:rsidR="002649F0" w:rsidRPr="00AD597A">
        <w:rPr>
          <w:sz w:val="24"/>
          <w:szCs w:val="24"/>
        </w:rPr>
        <w:t>.</w:t>
      </w:r>
      <w:r w:rsidR="008928BD" w:rsidRPr="00AD597A">
        <w:rPr>
          <w:sz w:val="24"/>
          <w:szCs w:val="24"/>
        </w:rPr>
        <w:t xml:space="preserve"> </w:t>
      </w:r>
      <w:r w:rsidR="009E6424" w:rsidRPr="00AD597A">
        <w:rPr>
          <w:sz w:val="24"/>
          <w:szCs w:val="24"/>
        </w:rPr>
        <w:t>A second specification of the model also includes ‘probable mental health problem’ as a control variable</w:t>
      </w:r>
      <w:r w:rsidR="003B1F32" w:rsidRPr="00AD597A">
        <w:rPr>
          <w:sz w:val="24"/>
          <w:szCs w:val="24"/>
        </w:rPr>
        <w:t xml:space="preserve"> to investigate its potential association with loneliness</w:t>
      </w:r>
      <w:r w:rsidR="00D872D4" w:rsidRPr="00AD597A">
        <w:rPr>
          <w:sz w:val="24"/>
          <w:szCs w:val="24"/>
        </w:rPr>
        <w:t xml:space="preserve">, acknowledging that other scholars in this field have reported a bi-directional association between loneliness and mental health </w:t>
      </w:r>
      <w:r w:rsidR="00D872D4" w:rsidRPr="00AD597A">
        <w:rPr>
          <w:sz w:val="24"/>
          <w:szCs w:val="24"/>
        </w:rPr>
        <w:fldChar w:fldCharType="begin" w:fldLock="1"/>
      </w:r>
      <w:r w:rsidR="004648C4">
        <w:rPr>
          <w:sz w:val="24"/>
          <w:szCs w:val="24"/>
        </w:rPr>
        <w:instrText>ADDIN CSL_CITATION {"citationItems":[{"id":"ITEM-1","itemData":{"DOI":"10.1002/gps.5856","ISSN":"10991166","PMID":"36462183","abstract":"Background: Older adults have both the highest risk of contracting SARS-CoV-2 and in many jurisdictions have had additional restrictions placed on the social interactions. As a result, the COVID-19 pandemic has led to increased depression and loneliness among older adults. Using data from an established cohort of older adults, the aims of this study was to describe changes in loneliness and depression and to examine the directionality of the association between depression and loneliness over a 5-year period that included the early months of the pandemic. Methods: Data were from The Irish Longitudinal Study on Ageing (TILDA), a large cohort of community-dwelling adults aged 54+. We applied an auto-regressive cross-lagged panel modelling approach to estimate the effect of depression on loneliness and vice versa over three time points. Results: Both depression and loneliness increased significantly in the early months of the pandemic. While the association between loneliness and depression was bi-directional, loneliness was a stronger predictor of depression. Conclusion: The strength and bi-directionality of the association between loneliness and depression suggests that interventions to alleviate loneliness may also help reduce depressive symptoms and vice versa.","author":[{"dropping-particle":"","family":"Ward","given":"Mark","non-dropping-particle":"","parse-names":false,"suffix":""},{"dropping-particle":"","family":"Briggs","given":"Robert","non-dropping-particle":"","parse-names":false,"suffix":""},{"dropping-particle":"","family":"McGarrigle","given":"Christine A.","non-dropping-particle":"","parse-names":false,"suffix":""},{"dropping-particle":"","family":"Looze","given":"Celine","non-dropping-particle":"De","parse-names":false,"suffix":""},{"dropping-particle":"","family":"O’Halloran","given":"Aisling M.","non-dropping-particle":"","parse-names":false,"suffix":""},{"dropping-particle":"","family":"Kenny","given":"Rose Anne","non-dropping-particle":"","parse-names":false,"suffix":""}],"container-title":"International Journal of Geriatric Psychiatry","id":"ITEM-1","issue":"1","issued":{"date-parts":[["2023"]]},"title":"The bi-directional association between loneliness and depression among older adults from before to during the COVID-19 pandemic","type":"article-journal","volume":"38"},"uris":["http://www.mendeley.com/documents/?uuid=8c111624-f8d7-416c-98e9-d83c14811445"]},{"id":"ITEM-2","itemData":{"DOI":"10.1108/QAOA-04-2018-0015","ISSN":"20428766","abstract":"Purpose: The purpose of this paper is to investigate the relationship between the age-friendliness of local environments and self-reported loneliness for a representative sample of community-dwelling adults aged 55+ in Ireland. Design/methodology/approach: Data were from the Healthy and Positive Ageing Initiative Age friendly Cities and Counties Survey (n=10,540) (2016). Several age friendly indicators, as proposed by World Health Organisation, were included in this study: outdoor spaces and buildings; access to social services; social participation; respect and social inclusion; and transport. Loneliness was measured using five items from the UCLA Loneliness Scale. Informed by an ecological approach to ageing, multi-level negative binomial regression models were used to investigate the association between each age friendly indicator and social loneliness. Models were adjusted for known demographic, socio-economic and health correlates of loneliness. Findings: Average loneliness scores were significantly higher for those in poorer health, who lived alone, were materially deprived and those never or formerly married. Lower ratings and poorer outcomes for several interrelated age friendly place-based factors were significantly associated with higher loneliness scores: difficulty with transport, difficulty accessing social services, barriers to community activities, lower social engagement, and experiences and perceptions of ageism in the community; however, the effect sizes were small. Originality/value: This study identified several modifiable age friendly features of local environments that are associated with loneliness in this older population. The results of this study can inform coordinated local and national efforts to enhance the age-friendliness of local environments and reduce the risk and experience of loneliness among the ageing population in Ireland.","author":[{"dropping-particle":"","family":"Gibney","given":"Sarah","non-dropping-particle":"","parse-names":false,"suffix":""},{"dropping-particle":"","family":"Moore","given":"Tara","non-dropping-particle":"","parse-names":false,"suffix":""},{"dropping-particle":"","family":"Shannon","given":"Sinead","non-dropping-particle":"","parse-names":false,"suffix":""}],"container-title":"Quality in Ageing and Older Adults","id":"ITEM-2","issue":"2","issued":{"date-parts":[["2019"]]},"page":"80-96","title":"Loneliness in later life: a cross-sectional survey analysis of place-based factors in Ireland","type":"article-journal","volume":"20"},"uris":["http://www.mendeley.com/documents/?uuid=74cc4e79-6c52-48b8-aa95-b30a9c6dc44b"]}],"mendeley":{"formattedCitation":"(Gibney et al., 2019; Ward et al., 2023)","plainTextFormattedCitation":"(Gibney et al., 2019; Ward et al., 2023)","previouslyFormattedCitation":"(Gibney et al., 2019; Ward et al., 2023)"},"properties":{"noteIndex":0},"schema":"https://github.com/citation-style-language/schema/raw/master/csl-citation.json"}</w:instrText>
      </w:r>
      <w:r w:rsidR="00D872D4" w:rsidRPr="00AD597A">
        <w:rPr>
          <w:sz w:val="24"/>
          <w:szCs w:val="24"/>
        </w:rPr>
        <w:fldChar w:fldCharType="separate"/>
      </w:r>
      <w:r w:rsidR="000443B6" w:rsidRPr="00A066FF">
        <w:rPr>
          <w:noProof/>
          <w:sz w:val="24"/>
          <w:szCs w:val="24"/>
        </w:rPr>
        <w:t>(Gibney et al., 2019; Ward et al., 2023)</w:t>
      </w:r>
      <w:r w:rsidR="00D872D4" w:rsidRPr="00AD597A">
        <w:rPr>
          <w:sz w:val="24"/>
          <w:szCs w:val="24"/>
        </w:rPr>
        <w:fldChar w:fldCharType="end"/>
      </w:r>
      <w:r w:rsidR="00D872D4" w:rsidRPr="00AD597A">
        <w:rPr>
          <w:sz w:val="24"/>
          <w:szCs w:val="24"/>
        </w:rPr>
        <w:t>.</w:t>
      </w:r>
      <w:r w:rsidR="00770C1A">
        <w:rPr>
          <w:sz w:val="24"/>
          <w:szCs w:val="24"/>
        </w:rPr>
        <w:t xml:space="preserve"> A year dummy was also included </w:t>
      </w:r>
      <w:r w:rsidR="009007EB">
        <w:rPr>
          <w:sz w:val="24"/>
          <w:szCs w:val="24"/>
        </w:rPr>
        <w:t>to capture the association between the COVID-19 pandemic period, a</w:t>
      </w:r>
      <w:r w:rsidR="00A14281">
        <w:rPr>
          <w:sz w:val="24"/>
          <w:szCs w:val="24"/>
        </w:rPr>
        <w:t>s</w:t>
      </w:r>
      <w:r w:rsidR="009007EB">
        <w:rPr>
          <w:sz w:val="24"/>
          <w:szCs w:val="24"/>
        </w:rPr>
        <w:t xml:space="preserve"> represented by the year 2021, and the outcomes of interest. </w:t>
      </w:r>
    </w:p>
    <w:p w14:paraId="26A14298" w14:textId="6177889B" w:rsidR="00BB66DD" w:rsidRPr="00AD597A" w:rsidRDefault="00785EEB" w:rsidP="00BB66DD">
      <w:pPr>
        <w:spacing w:line="360" w:lineRule="auto"/>
        <w:rPr>
          <w:sz w:val="24"/>
          <w:szCs w:val="24"/>
        </w:rPr>
      </w:pPr>
      <w:r w:rsidRPr="00AD597A">
        <w:rPr>
          <w:sz w:val="24"/>
          <w:szCs w:val="24"/>
        </w:rPr>
        <w:t xml:space="preserve">The </w:t>
      </w:r>
      <w:r w:rsidR="003B1F32" w:rsidRPr="00AD597A">
        <w:rPr>
          <w:sz w:val="24"/>
          <w:szCs w:val="24"/>
        </w:rPr>
        <w:t xml:space="preserve">second research question concerned with </w:t>
      </w:r>
      <w:r w:rsidR="003F41C0" w:rsidRPr="00AD597A">
        <w:rPr>
          <w:sz w:val="24"/>
          <w:szCs w:val="24"/>
        </w:rPr>
        <w:t xml:space="preserve">whether experiences of loneliness affect mental health outcomes, examines </w:t>
      </w:r>
      <w:r w:rsidR="008633A7" w:rsidRPr="00AD597A">
        <w:rPr>
          <w:sz w:val="24"/>
          <w:szCs w:val="24"/>
        </w:rPr>
        <w:t xml:space="preserve">whether the </w:t>
      </w:r>
      <w:r w:rsidR="0081103F" w:rsidRPr="008A1FBC">
        <w:rPr>
          <w:i/>
          <w:iCs/>
          <w:sz w:val="24"/>
          <w:szCs w:val="24"/>
        </w:rPr>
        <w:t>Healthy Ireland</w:t>
      </w:r>
      <w:r w:rsidR="0081103F" w:rsidRPr="00AD597A">
        <w:rPr>
          <w:sz w:val="24"/>
          <w:szCs w:val="24"/>
        </w:rPr>
        <w:t xml:space="preserve"> participant </w:t>
      </w:r>
      <w:r w:rsidR="008A1FBC">
        <w:rPr>
          <w:sz w:val="24"/>
          <w:szCs w:val="24"/>
        </w:rPr>
        <w:t>wa</w:t>
      </w:r>
      <w:r w:rsidR="0081103F" w:rsidRPr="00AD597A">
        <w:rPr>
          <w:sz w:val="24"/>
          <w:szCs w:val="24"/>
        </w:rPr>
        <w:t xml:space="preserve">s likely to have a mental health problem as indicated by their </w:t>
      </w:r>
      <w:r w:rsidR="003F41C0" w:rsidRPr="00AD597A">
        <w:rPr>
          <w:sz w:val="24"/>
          <w:szCs w:val="24"/>
        </w:rPr>
        <w:t>Mental-Health Inventory-5</w:t>
      </w:r>
      <w:r w:rsidR="0081103F" w:rsidRPr="00AD597A">
        <w:rPr>
          <w:sz w:val="24"/>
          <w:szCs w:val="24"/>
        </w:rPr>
        <w:t xml:space="preserve"> score</w:t>
      </w:r>
      <w:r w:rsidR="00694622" w:rsidRPr="00AD597A">
        <w:rPr>
          <w:sz w:val="24"/>
          <w:szCs w:val="24"/>
        </w:rPr>
        <w:t>, as well as their reported quality of life.</w:t>
      </w:r>
      <w:r w:rsidR="003F41C0" w:rsidRPr="00AD597A">
        <w:rPr>
          <w:sz w:val="24"/>
          <w:szCs w:val="24"/>
        </w:rPr>
        <w:t xml:space="preserve"> </w:t>
      </w:r>
      <w:r w:rsidR="00C41492" w:rsidRPr="00AD597A">
        <w:rPr>
          <w:sz w:val="24"/>
          <w:szCs w:val="24"/>
        </w:rPr>
        <w:t xml:space="preserve">The Mental Health Index (MHI-5) is used to measure negative states of mental health </w:t>
      </w:r>
      <w:r w:rsidR="00C41492" w:rsidRPr="00AD597A">
        <w:rPr>
          <w:sz w:val="24"/>
          <w:szCs w:val="24"/>
        </w:rPr>
        <w:fldChar w:fldCharType="begin" w:fldLock="1"/>
      </w:r>
      <w:r w:rsidR="00C41492" w:rsidRPr="00AD597A">
        <w:rPr>
          <w:sz w:val="24"/>
          <w:szCs w:val="24"/>
        </w:rPr>
        <w:instrText>ADDIN CSL_CITATION {"citationItems":[{"id":"ITEM-1","itemData":{"author":[{"dropping-particle":"","family":"Ware Jr.","given":"E","non-dropping-particle":"","parse-names":false,"suffix":""}],"container-title":"The use of psychological testing for treatment planning and outcomes assessment","edition":"2nd","id":"ITEM-1","issued":{"date-parts":[["1999"]]},"page":"1227-1246","title":"SF-36 Health Survey","type":"chapter"},"uris":["http://www.mendeley.com/documents/?uuid=7a756282-7f81-43fe-b3ce-055928ddec28"]}],"mendeley":{"formattedCitation":"(Ware Jr., 1999)","plainTextFormattedCitation":"(Ware Jr., 1999)","previouslyFormattedCitation":"(Ware Jr., 1999)"},"properties":{"noteIndex":0},"schema":"https://github.com/citation-style-language/schema/raw/master/csl-citation.json"}</w:instrText>
      </w:r>
      <w:r w:rsidR="00C41492" w:rsidRPr="00AD597A">
        <w:rPr>
          <w:sz w:val="24"/>
          <w:szCs w:val="24"/>
        </w:rPr>
        <w:fldChar w:fldCharType="separate"/>
      </w:r>
      <w:r w:rsidR="00C41492" w:rsidRPr="00AD597A">
        <w:rPr>
          <w:noProof/>
          <w:sz w:val="24"/>
          <w:szCs w:val="24"/>
        </w:rPr>
        <w:t>(Ware Jr., 1999)</w:t>
      </w:r>
      <w:r w:rsidR="00C41492" w:rsidRPr="00AD597A">
        <w:rPr>
          <w:sz w:val="24"/>
          <w:szCs w:val="24"/>
        </w:rPr>
        <w:fldChar w:fldCharType="end"/>
      </w:r>
      <w:r w:rsidR="00C41492" w:rsidRPr="00AD597A">
        <w:rPr>
          <w:sz w:val="24"/>
          <w:szCs w:val="24"/>
        </w:rPr>
        <w:t xml:space="preserve">. Respondents were asked five questions relating to their negative mental health over the past four weeks. The questions included the extent to which they felt “downhearted and blue”, “worn-out”, “tired”, “so down in the dumps that nothing could cheer you up” and been a “very nervous person”. The scores were used to calculate an MHI-5 score for each </w:t>
      </w:r>
      <w:r w:rsidR="00874D32" w:rsidRPr="00AD597A">
        <w:rPr>
          <w:sz w:val="24"/>
          <w:szCs w:val="24"/>
        </w:rPr>
        <w:t>respondent,</w:t>
      </w:r>
      <w:r w:rsidR="00C41492" w:rsidRPr="00AD597A">
        <w:rPr>
          <w:sz w:val="24"/>
          <w:szCs w:val="24"/>
        </w:rPr>
        <w:t xml:space="preserve"> </w:t>
      </w:r>
      <w:r w:rsidR="00FA4CAA" w:rsidRPr="00AD597A">
        <w:rPr>
          <w:sz w:val="24"/>
          <w:szCs w:val="24"/>
        </w:rPr>
        <w:t xml:space="preserve">where </w:t>
      </w:r>
      <w:r w:rsidR="00C41492" w:rsidRPr="00AD597A">
        <w:rPr>
          <w:sz w:val="24"/>
          <w:szCs w:val="24"/>
        </w:rPr>
        <w:t>scores can range from 0-100. Lower scores indicate greater levels of psychological distress</w:t>
      </w:r>
      <w:r w:rsidR="00BB66DD" w:rsidRPr="00AD597A">
        <w:rPr>
          <w:sz w:val="24"/>
          <w:szCs w:val="24"/>
        </w:rPr>
        <w:t>, and a</w:t>
      </w:r>
      <w:r w:rsidR="00D53B77" w:rsidRPr="00AD597A">
        <w:rPr>
          <w:sz w:val="24"/>
          <w:szCs w:val="24"/>
        </w:rPr>
        <w:t xml:space="preserve"> cut</w:t>
      </w:r>
      <w:r w:rsidR="00BB66DD" w:rsidRPr="00AD597A">
        <w:rPr>
          <w:sz w:val="24"/>
          <w:szCs w:val="24"/>
        </w:rPr>
        <w:t>-</w:t>
      </w:r>
      <w:r w:rsidR="00D53B77" w:rsidRPr="00AD597A">
        <w:rPr>
          <w:sz w:val="24"/>
          <w:szCs w:val="24"/>
        </w:rPr>
        <w:t xml:space="preserve">off point of </w:t>
      </w:r>
      <w:r w:rsidR="00BB66DD" w:rsidRPr="00AD597A">
        <w:rPr>
          <w:sz w:val="24"/>
          <w:szCs w:val="24"/>
        </w:rPr>
        <w:t xml:space="preserve">a MHI-5 score of 56 or lower is used to indicate a probable mental health problem </w:t>
      </w:r>
      <w:r w:rsidR="004744F3" w:rsidRPr="00AD597A">
        <w:rPr>
          <w:sz w:val="24"/>
          <w:szCs w:val="24"/>
        </w:rPr>
        <w:fldChar w:fldCharType="begin" w:fldLock="1"/>
      </w:r>
      <w:r w:rsidR="00374654" w:rsidRPr="00AD597A">
        <w:rPr>
          <w:sz w:val="24"/>
          <w:szCs w:val="24"/>
        </w:rPr>
        <w:instrText>ADDIN CSL_CITATION {"citationItems":[{"id":"ITEM-1","itemData":{"author":[{"dropping-particle":"","family":"Government of Ireland","given":"","non-dropping-particle":"","parse-names":false,"suffix":""}],"id":"ITEM-1","issued":{"date-parts":[["2023"]]},"publisher":"Department of Health","title":"Healthy Ireland Survey 2023 Summary Report","type":"book"},"uris":["http://www.mendeley.com/documents/?uuid=fc573f71-16c3-4a07-a70c-2191a5d8fed0"]}],"mendeley":{"formattedCitation":"(Government of Ireland, 2023)","plainTextFormattedCitation":"(Government of Ireland, 2023)","previouslyFormattedCitation":"(Government of Ireland, 2023)"},"properties":{"noteIndex":0},"schema":"https://github.com/citation-style-language/schema/raw/master/csl-citation.json"}</w:instrText>
      </w:r>
      <w:r w:rsidR="004744F3" w:rsidRPr="00AD597A">
        <w:rPr>
          <w:sz w:val="24"/>
          <w:szCs w:val="24"/>
        </w:rPr>
        <w:fldChar w:fldCharType="separate"/>
      </w:r>
      <w:r w:rsidR="004744F3" w:rsidRPr="00AD597A">
        <w:rPr>
          <w:noProof/>
          <w:sz w:val="24"/>
          <w:szCs w:val="24"/>
        </w:rPr>
        <w:t>(Government of Ireland, 2023)</w:t>
      </w:r>
      <w:r w:rsidR="004744F3" w:rsidRPr="00AD597A">
        <w:rPr>
          <w:sz w:val="24"/>
          <w:szCs w:val="24"/>
        </w:rPr>
        <w:fldChar w:fldCharType="end"/>
      </w:r>
      <w:r w:rsidR="00BB66DD" w:rsidRPr="00AD597A">
        <w:rPr>
          <w:sz w:val="24"/>
          <w:szCs w:val="24"/>
        </w:rPr>
        <w:t xml:space="preserve">. </w:t>
      </w:r>
    </w:p>
    <w:p w14:paraId="37C35244" w14:textId="52100856" w:rsidR="006956A2" w:rsidRPr="00AD597A" w:rsidRDefault="00592E3F" w:rsidP="005A3031">
      <w:pPr>
        <w:spacing w:line="360" w:lineRule="auto"/>
        <w:rPr>
          <w:sz w:val="24"/>
          <w:szCs w:val="24"/>
        </w:rPr>
      </w:pPr>
      <w:r w:rsidRPr="00AD597A">
        <w:rPr>
          <w:i/>
          <w:iCs/>
          <w:sz w:val="24"/>
          <w:szCs w:val="24"/>
        </w:rPr>
        <w:t>Healthy Ireland</w:t>
      </w:r>
      <w:r w:rsidRPr="00AD597A">
        <w:rPr>
          <w:sz w:val="24"/>
          <w:szCs w:val="24"/>
        </w:rPr>
        <w:t xml:space="preserve"> respondents </w:t>
      </w:r>
      <w:r w:rsidR="00295980">
        <w:rPr>
          <w:sz w:val="24"/>
          <w:szCs w:val="24"/>
        </w:rPr>
        <w:t>were</w:t>
      </w:r>
      <w:r w:rsidRPr="00AD597A">
        <w:rPr>
          <w:sz w:val="24"/>
          <w:szCs w:val="24"/>
        </w:rPr>
        <w:t xml:space="preserve"> asked </w:t>
      </w:r>
      <w:r w:rsidR="00CC6011" w:rsidRPr="00AD597A">
        <w:rPr>
          <w:sz w:val="24"/>
          <w:szCs w:val="24"/>
        </w:rPr>
        <w:t xml:space="preserve">‘How would you </w:t>
      </w:r>
      <w:r w:rsidR="00874D32" w:rsidRPr="00AD597A">
        <w:rPr>
          <w:sz w:val="24"/>
          <w:szCs w:val="24"/>
        </w:rPr>
        <w:t xml:space="preserve">rate </w:t>
      </w:r>
      <w:r w:rsidR="00CC6011" w:rsidRPr="00AD597A">
        <w:rPr>
          <w:sz w:val="24"/>
          <w:szCs w:val="24"/>
        </w:rPr>
        <w:t>your</w:t>
      </w:r>
      <w:r w:rsidR="00874D32" w:rsidRPr="00AD597A">
        <w:rPr>
          <w:sz w:val="24"/>
          <w:szCs w:val="24"/>
        </w:rPr>
        <w:t xml:space="preserve"> quality of life</w:t>
      </w:r>
      <w:r w:rsidR="00CC6011" w:rsidRPr="00AD597A">
        <w:rPr>
          <w:sz w:val="24"/>
          <w:szCs w:val="24"/>
        </w:rPr>
        <w:t xml:space="preserve"> at the moment</w:t>
      </w:r>
      <w:r w:rsidR="0024423E" w:rsidRPr="00AD597A">
        <w:rPr>
          <w:sz w:val="24"/>
          <w:szCs w:val="24"/>
        </w:rPr>
        <w:t xml:space="preserve">?’ with five responses from </w:t>
      </w:r>
      <w:r w:rsidR="00BE7249" w:rsidRPr="00AD597A">
        <w:rPr>
          <w:sz w:val="24"/>
          <w:szCs w:val="24"/>
        </w:rPr>
        <w:t>‘V</w:t>
      </w:r>
      <w:r w:rsidR="0024423E" w:rsidRPr="00AD597A">
        <w:rPr>
          <w:sz w:val="24"/>
          <w:szCs w:val="24"/>
        </w:rPr>
        <w:t>ery good</w:t>
      </w:r>
      <w:r w:rsidR="00BE7249" w:rsidRPr="00AD597A">
        <w:rPr>
          <w:sz w:val="24"/>
          <w:szCs w:val="24"/>
        </w:rPr>
        <w:t>’</w:t>
      </w:r>
      <w:r w:rsidR="0024423E" w:rsidRPr="00AD597A">
        <w:rPr>
          <w:sz w:val="24"/>
          <w:szCs w:val="24"/>
        </w:rPr>
        <w:t xml:space="preserve"> (1), to </w:t>
      </w:r>
      <w:r w:rsidR="00BE7249" w:rsidRPr="00AD597A">
        <w:rPr>
          <w:sz w:val="24"/>
          <w:szCs w:val="24"/>
        </w:rPr>
        <w:t>‘V</w:t>
      </w:r>
      <w:r w:rsidR="0024423E" w:rsidRPr="00AD597A">
        <w:rPr>
          <w:sz w:val="24"/>
          <w:szCs w:val="24"/>
        </w:rPr>
        <w:t>ery poor</w:t>
      </w:r>
      <w:r w:rsidR="00BE7249" w:rsidRPr="00AD597A">
        <w:rPr>
          <w:sz w:val="24"/>
          <w:szCs w:val="24"/>
        </w:rPr>
        <w:t>’</w:t>
      </w:r>
      <w:r w:rsidR="0024423E" w:rsidRPr="00AD597A">
        <w:rPr>
          <w:sz w:val="24"/>
          <w:szCs w:val="24"/>
        </w:rPr>
        <w:t xml:space="preserve"> (5). </w:t>
      </w:r>
      <w:r w:rsidR="00BC64AE" w:rsidRPr="00AD597A">
        <w:rPr>
          <w:sz w:val="24"/>
          <w:szCs w:val="24"/>
        </w:rPr>
        <w:t>The outcome variable ‘Good quality of life’ was created, w</w:t>
      </w:r>
      <w:r w:rsidR="00BE7249" w:rsidRPr="00AD597A">
        <w:rPr>
          <w:sz w:val="24"/>
          <w:szCs w:val="24"/>
        </w:rPr>
        <w:t xml:space="preserve">here the respondent </w:t>
      </w:r>
      <w:r w:rsidR="00BC64AE" w:rsidRPr="00AD597A">
        <w:rPr>
          <w:sz w:val="24"/>
          <w:szCs w:val="24"/>
        </w:rPr>
        <w:t>select</w:t>
      </w:r>
      <w:r w:rsidR="00295980">
        <w:rPr>
          <w:sz w:val="24"/>
          <w:szCs w:val="24"/>
        </w:rPr>
        <w:t>ed</w:t>
      </w:r>
      <w:r w:rsidR="00BE7249" w:rsidRPr="00AD597A">
        <w:rPr>
          <w:sz w:val="24"/>
          <w:szCs w:val="24"/>
        </w:rPr>
        <w:t xml:space="preserve"> ‘Very good’</w:t>
      </w:r>
      <w:r w:rsidR="00874D32" w:rsidRPr="00AD597A">
        <w:rPr>
          <w:sz w:val="24"/>
          <w:szCs w:val="24"/>
        </w:rPr>
        <w:t xml:space="preserve"> </w:t>
      </w:r>
      <w:r w:rsidR="00BE7249" w:rsidRPr="00AD597A">
        <w:rPr>
          <w:sz w:val="24"/>
          <w:szCs w:val="24"/>
        </w:rPr>
        <w:t>or ‘Good’</w:t>
      </w:r>
      <w:r w:rsidR="00BC64AE" w:rsidRPr="00AD597A">
        <w:rPr>
          <w:sz w:val="24"/>
          <w:szCs w:val="24"/>
        </w:rPr>
        <w:t xml:space="preserve"> as their response</w:t>
      </w:r>
      <w:r w:rsidR="00D71702">
        <w:rPr>
          <w:sz w:val="24"/>
          <w:szCs w:val="24"/>
        </w:rPr>
        <w:t xml:space="preserve">, this was </w:t>
      </w:r>
      <w:r w:rsidR="005A3031" w:rsidRPr="00AD597A">
        <w:rPr>
          <w:sz w:val="24"/>
          <w:szCs w:val="24"/>
        </w:rPr>
        <w:t xml:space="preserve">set equal to one, zero otherwise. </w:t>
      </w:r>
    </w:p>
    <w:p w14:paraId="462FA16E" w14:textId="14CAA55D" w:rsidR="000D43D4" w:rsidRPr="00AD597A" w:rsidRDefault="000D43D4" w:rsidP="005A3031">
      <w:pPr>
        <w:spacing w:line="360" w:lineRule="auto"/>
        <w:rPr>
          <w:sz w:val="24"/>
          <w:szCs w:val="24"/>
        </w:rPr>
      </w:pPr>
      <w:r w:rsidRPr="00AD597A">
        <w:rPr>
          <w:sz w:val="24"/>
          <w:szCs w:val="24"/>
        </w:rPr>
        <w:t>The</w:t>
      </w:r>
      <w:r w:rsidR="00183B9D" w:rsidRPr="00AD597A">
        <w:rPr>
          <w:sz w:val="24"/>
          <w:szCs w:val="24"/>
        </w:rPr>
        <w:t xml:space="preserve"> binary</w:t>
      </w:r>
      <w:r w:rsidRPr="00AD597A">
        <w:rPr>
          <w:sz w:val="24"/>
          <w:szCs w:val="24"/>
        </w:rPr>
        <w:t xml:space="preserve"> dependent variables of ‘Probable mental health problem’ and ‘Good quality of life’ are </w:t>
      </w:r>
      <w:r w:rsidR="00183B9D" w:rsidRPr="00AD597A">
        <w:rPr>
          <w:sz w:val="24"/>
          <w:szCs w:val="24"/>
        </w:rPr>
        <w:t xml:space="preserve">also </w:t>
      </w:r>
      <w:r w:rsidRPr="00AD597A">
        <w:rPr>
          <w:sz w:val="24"/>
          <w:szCs w:val="24"/>
        </w:rPr>
        <w:t>modelled as</w:t>
      </w:r>
      <w:r w:rsidR="00183B9D" w:rsidRPr="00AD597A">
        <w:rPr>
          <w:sz w:val="24"/>
          <w:szCs w:val="24"/>
        </w:rPr>
        <w:t xml:space="preserve"> logistic regression models, where the exposure variables of interest concerning frequency of loneliness, i.e., reporting ‘Often/always lonely’, or reporting ‘‘Sometimes/often/always lonely’</w:t>
      </w:r>
      <w:r w:rsidR="00D71702">
        <w:rPr>
          <w:sz w:val="24"/>
          <w:szCs w:val="24"/>
        </w:rPr>
        <w:t xml:space="preserve">. These were </w:t>
      </w:r>
      <w:r w:rsidR="00183B9D" w:rsidRPr="00AD597A">
        <w:rPr>
          <w:sz w:val="24"/>
          <w:szCs w:val="24"/>
        </w:rPr>
        <w:t xml:space="preserve">modelled separately as models (1) and (2) respectively. </w:t>
      </w:r>
      <w:r w:rsidR="00E77D18" w:rsidRPr="00AD597A">
        <w:rPr>
          <w:sz w:val="24"/>
          <w:szCs w:val="24"/>
        </w:rPr>
        <w:t xml:space="preserve">The covariates in the previous models examining the predictors of loneliness </w:t>
      </w:r>
      <w:r w:rsidR="00034927">
        <w:rPr>
          <w:sz w:val="24"/>
          <w:szCs w:val="24"/>
        </w:rPr>
        <w:t>were</w:t>
      </w:r>
      <w:r w:rsidR="00E77D18" w:rsidRPr="00AD597A">
        <w:rPr>
          <w:sz w:val="24"/>
          <w:szCs w:val="24"/>
        </w:rPr>
        <w:t xml:space="preserve"> also included </w:t>
      </w:r>
      <w:r w:rsidR="00C259DF" w:rsidRPr="00AD597A">
        <w:rPr>
          <w:sz w:val="24"/>
          <w:szCs w:val="24"/>
        </w:rPr>
        <w:t xml:space="preserve">as </w:t>
      </w:r>
      <w:r w:rsidR="00E77D18" w:rsidRPr="00AD597A">
        <w:rPr>
          <w:sz w:val="24"/>
          <w:szCs w:val="24"/>
        </w:rPr>
        <w:t>control variables</w:t>
      </w:r>
      <w:r w:rsidR="00C259DF" w:rsidRPr="00AD597A">
        <w:rPr>
          <w:sz w:val="24"/>
          <w:szCs w:val="24"/>
        </w:rPr>
        <w:t xml:space="preserve">. </w:t>
      </w:r>
    </w:p>
    <w:p w14:paraId="6958573D" w14:textId="72558318" w:rsidR="00C76B0E" w:rsidRPr="00AD597A" w:rsidRDefault="00C76B0E" w:rsidP="005A3031">
      <w:pPr>
        <w:spacing w:line="360" w:lineRule="auto"/>
        <w:rPr>
          <w:sz w:val="24"/>
          <w:szCs w:val="24"/>
        </w:rPr>
      </w:pPr>
      <w:r w:rsidRPr="00AD597A">
        <w:rPr>
          <w:rFonts w:cs="Calibri"/>
          <w:sz w:val="24"/>
          <w:szCs w:val="24"/>
        </w:rPr>
        <w:t xml:space="preserve">The analytical sample included </w:t>
      </w:r>
      <w:r w:rsidR="00862243">
        <w:rPr>
          <w:rFonts w:cs="Calibri"/>
          <w:sz w:val="24"/>
          <w:szCs w:val="24"/>
        </w:rPr>
        <w:t>14,620</w:t>
      </w:r>
      <w:r w:rsidRPr="00AD597A">
        <w:rPr>
          <w:rFonts w:cs="Calibri"/>
          <w:sz w:val="24"/>
          <w:szCs w:val="24"/>
        </w:rPr>
        <w:t xml:space="preserve"> individuals with complete data for all variables </w:t>
      </w:r>
      <w:r w:rsidR="00034927">
        <w:rPr>
          <w:rFonts w:cs="Calibri"/>
          <w:sz w:val="24"/>
          <w:szCs w:val="24"/>
        </w:rPr>
        <w:t xml:space="preserve">employed </w:t>
      </w:r>
      <w:r w:rsidRPr="00AD597A">
        <w:rPr>
          <w:rFonts w:cs="Calibri"/>
          <w:sz w:val="24"/>
          <w:szCs w:val="24"/>
        </w:rPr>
        <w:t>in the models</w:t>
      </w:r>
      <w:r w:rsidR="00BE6992" w:rsidRPr="00AD597A">
        <w:rPr>
          <w:rFonts w:cs="Calibri"/>
          <w:sz w:val="24"/>
          <w:szCs w:val="24"/>
        </w:rPr>
        <w:t xml:space="preserve"> (98.</w:t>
      </w:r>
      <w:r w:rsidR="00862243">
        <w:rPr>
          <w:rFonts w:cs="Calibri"/>
          <w:sz w:val="24"/>
          <w:szCs w:val="24"/>
        </w:rPr>
        <w:t>4</w:t>
      </w:r>
      <w:r w:rsidR="00BE6992" w:rsidRPr="00AD597A">
        <w:rPr>
          <w:rFonts w:cs="Calibri"/>
          <w:sz w:val="24"/>
          <w:szCs w:val="24"/>
        </w:rPr>
        <w:t xml:space="preserve">% of the original </w:t>
      </w:r>
      <w:r w:rsidR="00034927">
        <w:rPr>
          <w:rFonts w:cs="Calibri"/>
          <w:sz w:val="24"/>
          <w:szCs w:val="24"/>
        </w:rPr>
        <w:t xml:space="preserve">collected </w:t>
      </w:r>
      <w:r w:rsidR="00BE6992" w:rsidRPr="00AD597A">
        <w:rPr>
          <w:rFonts w:cs="Calibri"/>
          <w:sz w:val="24"/>
          <w:szCs w:val="24"/>
        </w:rPr>
        <w:t>sample)</w:t>
      </w:r>
      <w:r w:rsidRPr="00AD597A">
        <w:rPr>
          <w:rFonts w:cs="Calibri"/>
          <w:sz w:val="24"/>
          <w:szCs w:val="24"/>
        </w:rPr>
        <w:t>. All analyses were conducted using STATA 17, with statistical significance determined at the p &lt; 0.05 level.</w:t>
      </w:r>
      <w:r w:rsidR="00034927">
        <w:rPr>
          <w:rFonts w:cs="Calibri"/>
          <w:sz w:val="24"/>
          <w:szCs w:val="24"/>
        </w:rPr>
        <w:t xml:space="preserve"> Pairwise correlation between the variables investigated in this study are presen</w:t>
      </w:r>
      <w:r w:rsidR="004E40B0">
        <w:rPr>
          <w:rFonts w:cs="Calibri"/>
          <w:sz w:val="24"/>
          <w:szCs w:val="24"/>
        </w:rPr>
        <w:t>ted in the Appendix Table A-1.</w:t>
      </w:r>
    </w:p>
    <w:p w14:paraId="1E332843" w14:textId="6755E461" w:rsidR="001135CF" w:rsidRPr="00AD597A" w:rsidRDefault="001135CF" w:rsidP="005A3031">
      <w:pPr>
        <w:spacing w:line="360" w:lineRule="auto"/>
        <w:rPr>
          <w:sz w:val="24"/>
          <w:szCs w:val="24"/>
        </w:rPr>
      </w:pPr>
      <w:r w:rsidRPr="00AD597A">
        <w:rPr>
          <w:b/>
          <w:bCs/>
          <w:sz w:val="24"/>
          <w:szCs w:val="24"/>
        </w:rPr>
        <w:br w:type="page"/>
      </w:r>
    </w:p>
    <w:p w14:paraId="5B9634D0" w14:textId="5040B0B2" w:rsidR="000C19FB" w:rsidRPr="00AD597A" w:rsidRDefault="000C19FB" w:rsidP="00995329">
      <w:pPr>
        <w:pStyle w:val="ListParagraph"/>
        <w:numPr>
          <w:ilvl w:val="0"/>
          <w:numId w:val="2"/>
        </w:numPr>
        <w:spacing w:line="360" w:lineRule="auto"/>
        <w:rPr>
          <w:b/>
          <w:bCs/>
          <w:sz w:val="24"/>
          <w:szCs w:val="24"/>
        </w:rPr>
      </w:pPr>
      <w:r w:rsidRPr="00AD597A">
        <w:rPr>
          <w:b/>
          <w:bCs/>
          <w:sz w:val="24"/>
          <w:szCs w:val="24"/>
        </w:rPr>
        <w:t>Results</w:t>
      </w:r>
    </w:p>
    <w:p w14:paraId="66A9C7BA" w14:textId="456C0CD1" w:rsidR="00692FF1" w:rsidRDefault="00692FF1" w:rsidP="00EB615E">
      <w:pPr>
        <w:spacing w:line="360" w:lineRule="auto"/>
        <w:rPr>
          <w:sz w:val="24"/>
          <w:szCs w:val="24"/>
        </w:rPr>
      </w:pPr>
      <w:r w:rsidRPr="00692FF1">
        <w:rPr>
          <w:sz w:val="24"/>
          <w:szCs w:val="24"/>
        </w:rPr>
        <w:t>Figure 1 presents the distribution of reported loneliness frequency over the past four weeks in 2021 and 2023. In 2021, 20.2% of respondents reported experiencing loneliness at least some of the time, with 5.9% reporting 'often or always' and 14.3% reporting 'some of the time'. By 2023, this overall proportion decreased to 1</w:t>
      </w:r>
      <w:r w:rsidR="00B71ED9">
        <w:rPr>
          <w:sz w:val="24"/>
          <w:szCs w:val="24"/>
        </w:rPr>
        <w:t>3.7</w:t>
      </w:r>
      <w:r w:rsidRPr="00692FF1">
        <w:rPr>
          <w:sz w:val="24"/>
          <w:szCs w:val="24"/>
        </w:rPr>
        <w:t xml:space="preserve">%, with 3.9% reporting 'often or always' and </w:t>
      </w:r>
      <w:r w:rsidR="00B71ED9">
        <w:rPr>
          <w:sz w:val="24"/>
          <w:szCs w:val="24"/>
        </w:rPr>
        <w:t>9</w:t>
      </w:r>
      <w:r w:rsidRPr="00692FF1">
        <w:rPr>
          <w:sz w:val="24"/>
          <w:szCs w:val="24"/>
        </w:rPr>
        <w:t>.9% reporting 'some of the time'</w:t>
      </w:r>
      <w:r w:rsidR="00B71ED9">
        <w:rPr>
          <w:sz w:val="24"/>
          <w:szCs w:val="24"/>
        </w:rPr>
        <w:t>.</w:t>
      </w:r>
    </w:p>
    <w:p w14:paraId="2D2E2109" w14:textId="7129AB9E" w:rsidR="00A12E42" w:rsidRPr="00AD597A" w:rsidRDefault="00A12E42" w:rsidP="00EB615E">
      <w:pPr>
        <w:spacing w:line="360" w:lineRule="auto"/>
        <w:rPr>
          <w:b/>
          <w:bCs/>
          <w:sz w:val="24"/>
          <w:szCs w:val="24"/>
        </w:rPr>
      </w:pPr>
      <w:r w:rsidRPr="00AD597A">
        <w:rPr>
          <w:b/>
          <w:bCs/>
          <w:sz w:val="24"/>
          <w:szCs w:val="24"/>
        </w:rPr>
        <w:t xml:space="preserve">Figure 1: </w:t>
      </w:r>
      <w:r w:rsidR="00C94EA6" w:rsidRPr="00AD597A">
        <w:rPr>
          <w:b/>
          <w:bCs/>
          <w:sz w:val="24"/>
          <w:szCs w:val="24"/>
        </w:rPr>
        <w:t xml:space="preserve">Prevalence of </w:t>
      </w:r>
      <w:r w:rsidR="003B0347">
        <w:rPr>
          <w:b/>
          <w:bCs/>
          <w:sz w:val="24"/>
          <w:szCs w:val="24"/>
        </w:rPr>
        <w:t xml:space="preserve">experiencing </w:t>
      </w:r>
      <w:r w:rsidR="00C94EA6" w:rsidRPr="00AD597A">
        <w:rPr>
          <w:b/>
          <w:bCs/>
          <w:sz w:val="24"/>
          <w:szCs w:val="24"/>
        </w:rPr>
        <w:t>loneliness</w:t>
      </w:r>
    </w:p>
    <w:p w14:paraId="5BE2F125" w14:textId="3A8E71B8" w:rsidR="00B40F76" w:rsidRPr="00AD597A" w:rsidRDefault="003951BF" w:rsidP="00535C7A">
      <w:pPr>
        <w:jc w:val="center"/>
        <w:rPr>
          <w:sz w:val="24"/>
          <w:szCs w:val="24"/>
        </w:rPr>
      </w:pPr>
      <w:r>
        <w:rPr>
          <w:noProof/>
          <w:sz w:val="24"/>
          <w:szCs w:val="24"/>
        </w:rPr>
        <w:drawing>
          <wp:inline distT="0" distB="0" distL="0" distR="0" wp14:anchorId="34BFD422" wp14:editId="3EC22EE9">
            <wp:extent cx="4974590" cy="3072765"/>
            <wp:effectExtent l="0" t="0" r="0" b="0"/>
            <wp:docPr id="1588215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4590" cy="3072765"/>
                    </a:xfrm>
                    <a:prstGeom prst="rect">
                      <a:avLst/>
                    </a:prstGeom>
                    <a:noFill/>
                  </pic:spPr>
                </pic:pic>
              </a:graphicData>
            </a:graphic>
          </wp:inline>
        </w:drawing>
      </w:r>
    </w:p>
    <w:p w14:paraId="11A92099" w14:textId="77777777" w:rsidR="009D49AD" w:rsidRPr="00AD597A" w:rsidRDefault="009D49AD" w:rsidP="00535C7A">
      <w:pPr>
        <w:jc w:val="center"/>
        <w:rPr>
          <w:sz w:val="24"/>
          <w:szCs w:val="24"/>
        </w:rPr>
      </w:pPr>
    </w:p>
    <w:p w14:paraId="7B7E1CC2" w14:textId="69D43BCE" w:rsidR="00FB6C5F" w:rsidRDefault="00FB6C5F" w:rsidP="00AD597A">
      <w:pPr>
        <w:keepNext/>
        <w:spacing w:line="360" w:lineRule="auto"/>
        <w:rPr>
          <w:sz w:val="24"/>
          <w:szCs w:val="24"/>
        </w:rPr>
      </w:pPr>
      <w:r w:rsidRPr="00FB6C5F">
        <w:rPr>
          <w:sz w:val="24"/>
          <w:szCs w:val="24"/>
        </w:rPr>
        <w:t xml:space="preserve">Figure 2 illustrates a shift in </w:t>
      </w:r>
      <w:r>
        <w:rPr>
          <w:sz w:val="24"/>
          <w:szCs w:val="24"/>
        </w:rPr>
        <w:t xml:space="preserve">mental health and </w:t>
      </w:r>
      <w:r w:rsidRPr="00FB6C5F">
        <w:rPr>
          <w:sz w:val="24"/>
          <w:szCs w:val="24"/>
        </w:rPr>
        <w:t>well-being between 2021 and 2023. In 2021, 15% (approximately one-in-six) of the sample indicated a probable mental health problem. By 2023, this figure decreased to 12.5% (one-in-eight), suggesting an improvement in mental health. This positive trend is reinforced by the increase in reported good quality of life, from 74.4% in 2021 to 85.8% in 2023.</w:t>
      </w:r>
    </w:p>
    <w:p w14:paraId="226F68F1" w14:textId="6FD28D28" w:rsidR="00A12E42" w:rsidRPr="00AD597A" w:rsidRDefault="00A12E42" w:rsidP="00AD597A">
      <w:pPr>
        <w:keepNext/>
        <w:spacing w:line="360" w:lineRule="auto"/>
        <w:rPr>
          <w:b/>
          <w:bCs/>
          <w:sz w:val="24"/>
          <w:szCs w:val="24"/>
        </w:rPr>
      </w:pPr>
      <w:r w:rsidRPr="00AD597A">
        <w:rPr>
          <w:b/>
          <w:bCs/>
          <w:sz w:val="24"/>
          <w:szCs w:val="24"/>
        </w:rPr>
        <w:t>Figure 2:</w:t>
      </w:r>
      <w:r w:rsidR="00C94EA6" w:rsidRPr="00AD597A">
        <w:rPr>
          <w:b/>
          <w:bCs/>
          <w:sz w:val="24"/>
          <w:szCs w:val="24"/>
        </w:rPr>
        <w:t xml:space="preserve"> Prevalence of probable mental health </w:t>
      </w:r>
      <w:r w:rsidR="00CD330A">
        <w:rPr>
          <w:b/>
          <w:bCs/>
          <w:sz w:val="24"/>
          <w:szCs w:val="24"/>
        </w:rPr>
        <w:t>problem</w:t>
      </w:r>
      <w:r w:rsidR="00C94EA6" w:rsidRPr="00AD597A">
        <w:rPr>
          <w:b/>
          <w:bCs/>
          <w:sz w:val="24"/>
          <w:szCs w:val="24"/>
        </w:rPr>
        <w:t xml:space="preserve"> and </w:t>
      </w:r>
      <w:r w:rsidR="007F0917" w:rsidRPr="00AD597A">
        <w:rPr>
          <w:b/>
          <w:bCs/>
          <w:sz w:val="24"/>
          <w:szCs w:val="24"/>
        </w:rPr>
        <w:t>reported good quality of life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tblGrid>
      <w:tr w:rsidR="00DB425F" w:rsidRPr="00AD597A" w14:paraId="21B3FDFE" w14:textId="77777777" w:rsidTr="00A27664">
        <w:trPr>
          <w:jc w:val="center"/>
        </w:trPr>
        <w:tc>
          <w:tcPr>
            <w:tcW w:w="7506" w:type="dxa"/>
          </w:tcPr>
          <w:p w14:paraId="69E24FFA" w14:textId="723D1294" w:rsidR="00DB425F" w:rsidRPr="00AD597A" w:rsidRDefault="009614A5" w:rsidP="00AD597A">
            <w:pPr>
              <w:keepNext/>
              <w:jc w:val="center"/>
              <w:rPr>
                <w:sz w:val="24"/>
                <w:szCs w:val="24"/>
              </w:rPr>
            </w:pPr>
            <w:r>
              <w:rPr>
                <w:noProof/>
                <w:sz w:val="24"/>
                <w:szCs w:val="24"/>
              </w:rPr>
              <w:drawing>
                <wp:inline distT="0" distB="0" distL="0" distR="0" wp14:anchorId="715FF868" wp14:editId="1A9571D7">
                  <wp:extent cx="4627245" cy="2749550"/>
                  <wp:effectExtent l="0" t="0" r="1905" b="0"/>
                  <wp:docPr id="760271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245" cy="2749550"/>
                          </a:xfrm>
                          <a:prstGeom prst="rect">
                            <a:avLst/>
                          </a:prstGeom>
                          <a:noFill/>
                        </pic:spPr>
                      </pic:pic>
                    </a:graphicData>
                  </a:graphic>
                </wp:inline>
              </w:drawing>
            </w:r>
          </w:p>
        </w:tc>
      </w:tr>
      <w:tr w:rsidR="00E4054A" w:rsidRPr="00AD597A" w14:paraId="5E8E2249" w14:textId="77777777" w:rsidTr="00A27664">
        <w:trPr>
          <w:jc w:val="center"/>
        </w:trPr>
        <w:tc>
          <w:tcPr>
            <w:tcW w:w="7506" w:type="dxa"/>
          </w:tcPr>
          <w:p w14:paraId="56BE534A" w14:textId="77777777" w:rsidR="00E4054A" w:rsidRDefault="00E4054A" w:rsidP="00AD597A">
            <w:pPr>
              <w:keepNext/>
              <w:jc w:val="center"/>
              <w:rPr>
                <w:noProof/>
                <w:sz w:val="24"/>
                <w:szCs w:val="24"/>
              </w:rPr>
            </w:pPr>
          </w:p>
        </w:tc>
      </w:tr>
      <w:tr w:rsidR="00DB425F" w:rsidRPr="00AD597A" w14:paraId="1067F2A2" w14:textId="77777777" w:rsidTr="00A27664">
        <w:trPr>
          <w:jc w:val="center"/>
        </w:trPr>
        <w:tc>
          <w:tcPr>
            <w:tcW w:w="7506" w:type="dxa"/>
          </w:tcPr>
          <w:p w14:paraId="312F6FEB" w14:textId="48926901" w:rsidR="00DB425F" w:rsidRDefault="00DB425F" w:rsidP="00AD597A">
            <w:pPr>
              <w:keepNext/>
              <w:jc w:val="center"/>
              <w:rPr>
                <w:noProof/>
                <w:sz w:val="24"/>
                <w:szCs w:val="24"/>
              </w:rPr>
            </w:pPr>
          </w:p>
        </w:tc>
      </w:tr>
    </w:tbl>
    <w:p w14:paraId="039D022C" w14:textId="2D0D3973" w:rsidR="00EE3572" w:rsidRPr="00AD597A" w:rsidRDefault="00E87293" w:rsidP="00E87293">
      <w:pPr>
        <w:jc w:val="center"/>
        <w:rPr>
          <w:sz w:val="24"/>
          <w:szCs w:val="24"/>
        </w:rPr>
      </w:pPr>
      <w:r>
        <w:rPr>
          <w:noProof/>
          <w:sz w:val="24"/>
          <w:szCs w:val="24"/>
        </w:rPr>
        <w:drawing>
          <wp:inline distT="0" distB="0" distL="0" distR="0" wp14:anchorId="3775F514" wp14:editId="5A5C96AC">
            <wp:extent cx="4627245" cy="2749550"/>
            <wp:effectExtent l="0" t="0" r="1905" b="0"/>
            <wp:docPr id="1404736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7245" cy="2749550"/>
                    </a:xfrm>
                    <a:prstGeom prst="rect">
                      <a:avLst/>
                    </a:prstGeom>
                    <a:noFill/>
                  </pic:spPr>
                </pic:pic>
              </a:graphicData>
            </a:graphic>
          </wp:inline>
        </w:drawing>
      </w:r>
    </w:p>
    <w:p w14:paraId="77A9280B" w14:textId="35D326D5" w:rsidR="001135CF" w:rsidRPr="0063200D" w:rsidRDefault="0063200D" w:rsidP="0063200D">
      <w:pPr>
        <w:spacing w:line="360" w:lineRule="auto"/>
        <w:rPr>
          <w:sz w:val="24"/>
          <w:szCs w:val="24"/>
        </w:rPr>
      </w:pPr>
      <w:r w:rsidRPr="0063200D">
        <w:rPr>
          <w:sz w:val="24"/>
          <w:szCs w:val="24"/>
        </w:rPr>
        <w:t>Table 1 summari</w:t>
      </w:r>
      <w:r>
        <w:rPr>
          <w:sz w:val="24"/>
          <w:szCs w:val="24"/>
        </w:rPr>
        <w:t>s</w:t>
      </w:r>
      <w:r w:rsidRPr="0063200D">
        <w:rPr>
          <w:sz w:val="24"/>
          <w:szCs w:val="24"/>
        </w:rPr>
        <w:t>es the weighted sample characteristics for 2021 and 2023, providing an overall average. The sample exhibited a balanced gender distribution. Regarding key demographics: While most respondents reported good health, 21.2% indicated a disability. Nationality data revealed that 18.6% were born outside Ireland, and the most common marital status was married, with 28.5% responsible for children under 18. Employment varied, with 55.5% employed, 21.9% engaged in home duties or other non-employed states, 11.5% retired, and 5.6% each for students and the unemployed. Educationally, 31.1% held a university degree. Geographically, 28.6% lived in the Dublin region. In terms of social engagement, 31.4% participated in clubs or groups, while 26.0% reported limited social support.</w:t>
      </w:r>
    </w:p>
    <w:p w14:paraId="5EFC180F" w14:textId="77777777" w:rsidR="006A3D1E" w:rsidRPr="0063200D" w:rsidRDefault="006A3D1E" w:rsidP="0063200D">
      <w:pPr>
        <w:spacing w:line="360" w:lineRule="auto"/>
        <w:rPr>
          <w:sz w:val="24"/>
          <w:szCs w:val="24"/>
        </w:rPr>
      </w:pPr>
      <w:r w:rsidRPr="0063200D">
        <w:rPr>
          <w:sz w:val="24"/>
          <w:szCs w:val="24"/>
        </w:rPr>
        <w:br w:type="page"/>
      </w:r>
    </w:p>
    <w:p w14:paraId="609235A9" w14:textId="4B92EF88" w:rsidR="00137259" w:rsidRDefault="00137259" w:rsidP="00137259">
      <w:pPr>
        <w:spacing w:line="360" w:lineRule="auto"/>
        <w:rPr>
          <w:b/>
          <w:bCs/>
        </w:rPr>
      </w:pPr>
      <w:r>
        <w:rPr>
          <w:b/>
          <w:bCs/>
        </w:rPr>
        <w:t>Table 1: Characteristics of the sample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993"/>
        <w:gridCol w:w="993"/>
        <w:gridCol w:w="993"/>
      </w:tblGrid>
      <w:tr w:rsidR="00B204E3" w:rsidRPr="009C13BA" w14:paraId="65C5E2A2" w14:textId="13A40126" w:rsidTr="00B6627C">
        <w:trPr>
          <w:jc w:val="center"/>
        </w:trPr>
        <w:tc>
          <w:tcPr>
            <w:tcW w:w="5098" w:type="dxa"/>
            <w:tcBorders>
              <w:top w:val="single" w:sz="4" w:space="0" w:color="auto"/>
              <w:bottom w:val="single" w:sz="4" w:space="0" w:color="auto"/>
            </w:tcBorders>
            <w:vAlign w:val="center"/>
          </w:tcPr>
          <w:p w14:paraId="331A757A" w14:textId="5CCE9E7C" w:rsidR="00B204E3" w:rsidRPr="00F61A9D" w:rsidRDefault="00B204E3" w:rsidP="00F61A9D">
            <w:pPr>
              <w:spacing w:line="360" w:lineRule="auto"/>
              <w:rPr>
                <w:b/>
                <w:bCs/>
              </w:rPr>
            </w:pPr>
            <w:r w:rsidRPr="00F61A9D">
              <w:rPr>
                <w:b/>
                <w:bCs/>
              </w:rPr>
              <w:t>Variables</w:t>
            </w:r>
            <w:r>
              <w:rPr>
                <w:b/>
                <w:bCs/>
              </w:rPr>
              <w:t xml:space="preserve"> (%)</w:t>
            </w:r>
          </w:p>
        </w:tc>
        <w:tc>
          <w:tcPr>
            <w:tcW w:w="993" w:type="dxa"/>
            <w:tcBorders>
              <w:top w:val="single" w:sz="4" w:space="0" w:color="auto"/>
              <w:bottom w:val="single" w:sz="4" w:space="0" w:color="auto"/>
            </w:tcBorders>
          </w:tcPr>
          <w:p w14:paraId="4A0C74BD" w14:textId="4EF3DE36" w:rsidR="00B204E3" w:rsidRPr="00B6627C" w:rsidRDefault="00B204E3" w:rsidP="00B6627C">
            <w:pPr>
              <w:spacing w:line="360" w:lineRule="auto"/>
              <w:jc w:val="center"/>
              <w:rPr>
                <w:b/>
                <w:bCs/>
              </w:rPr>
            </w:pPr>
            <w:r w:rsidRPr="00B6627C">
              <w:rPr>
                <w:b/>
                <w:bCs/>
              </w:rPr>
              <w:t>2021</w:t>
            </w:r>
          </w:p>
        </w:tc>
        <w:tc>
          <w:tcPr>
            <w:tcW w:w="993" w:type="dxa"/>
            <w:tcBorders>
              <w:top w:val="single" w:sz="4" w:space="0" w:color="auto"/>
              <w:bottom w:val="single" w:sz="4" w:space="0" w:color="auto"/>
            </w:tcBorders>
          </w:tcPr>
          <w:p w14:paraId="191995C0" w14:textId="11F67E14" w:rsidR="00B204E3" w:rsidRPr="00B6627C" w:rsidRDefault="00B204E3" w:rsidP="00B6627C">
            <w:pPr>
              <w:spacing w:line="360" w:lineRule="auto"/>
              <w:jc w:val="center"/>
              <w:rPr>
                <w:b/>
                <w:bCs/>
              </w:rPr>
            </w:pPr>
            <w:r w:rsidRPr="00B6627C">
              <w:rPr>
                <w:b/>
                <w:bCs/>
              </w:rPr>
              <w:t>2023</w:t>
            </w:r>
          </w:p>
        </w:tc>
        <w:tc>
          <w:tcPr>
            <w:tcW w:w="993" w:type="dxa"/>
            <w:tcBorders>
              <w:top w:val="single" w:sz="4" w:space="0" w:color="auto"/>
              <w:bottom w:val="single" w:sz="4" w:space="0" w:color="auto"/>
            </w:tcBorders>
          </w:tcPr>
          <w:p w14:paraId="15CCC1FC" w14:textId="40BF5AF3" w:rsidR="00B204E3" w:rsidRPr="00B6627C" w:rsidRDefault="00B204E3" w:rsidP="00B6627C">
            <w:pPr>
              <w:spacing w:line="360" w:lineRule="auto"/>
              <w:jc w:val="center"/>
              <w:rPr>
                <w:b/>
                <w:bCs/>
              </w:rPr>
            </w:pPr>
            <w:r w:rsidRPr="00B6627C">
              <w:rPr>
                <w:b/>
                <w:bCs/>
              </w:rPr>
              <w:t>2021-23</w:t>
            </w:r>
          </w:p>
        </w:tc>
      </w:tr>
      <w:tr w:rsidR="00B204E3" w:rsidRPr="009C13BA" w14:paraId="54AFEB9A" w14:textId="0B9D9DFC" w:rsidTr="00B6627C">
        <w:trPr>
          <w:jc w:val="center"/>
        </w:trPr>
        <w:tc>
          <w:tcPr>
            <w:tcW w:w="5098" w:type="dxa"/>
            <w:tcBorders>
              <w:top w:val="single" w:sz="4" w:space="0" w:color="auto"/>
            </w:tcBorders>
          </w:tcPr>
          <w:p w14:paraId="73945F1A" w14:textId="1AE9DC98" w:rsidR="00B204E3" w:rsidRPr="00C05ABF" w:rsidRDefault="00B204E3" w:rsidP="00137259">
            <w:pPr>
              <w:spacing w:line="360" w:lineRule="auto"/>
              <w:rPr>
                <w:sz w:val="18"/>
                <w:szCs w:val="18"/>
              </w:rPr>
            </w:pPr>
            <w:r w:rsidRPr="00C05ABF">
              <w:rPr>
                <w:sz w:val="18"/>
                <w:szCs w:val="18"/>
              </w:rPr>
              <w:t>Often/Always lonely</w:t>
            </w:r>
          </w:p>
        </w:tc>
        <w:tc>
          <w:tcPr>
            <w:tcW w:w="993" w:type="dxa"/>
            <w:tcBorders>
              <w:top w:val="single" w:sz="4" w:space="0" w:color="auto"/>
            </w:tcBorders>
            <w:vAlign w:val="center"/>
          </w:tcPr>
          <w:p w14:paraId="2EF675FA" w14:textId="60FBE79C" w:rsidR="00B204E3" w:rsidRPr="00C05ABF" w:rsidRDefault="00B204E3" w:rsidP="00B6627C">
            <w:pPr>
              <w:spacing w:line="360" w:lineRule="auto"/>
              <w:jc w:val="center"/>
              <w:rPr>
                <w:sz w:val="18"/>
                <w:szCs w:val="18"/>
              </w:rPr>
            </w:pPr>
            <w:r>
              <w:rPr>
                <w:sz w:val="18"/>
                <w:szCs w:val="18"/>
              </w:rPr>
              <w:t>5.9</w:t>
            </w:r>
          </w:p>
        </w:tc>
        <w:tc>
          <w:tcPr>
            <w:tcW w:w="993" w:type="dxa"/>
            <w:tcBorders>
              <w:top w:val="single" w:sz="4" w:space="0" w:color="auto"/>
            </w:tcBorders>
            <w:vAlign w:val="center"/>
          </w:tcPr>
          <w:p w14:paraId="1E116B1F" w14:textId="718FA694" w:rsidR="00B204E3" w:rsidRPr="00C05ABF" w:rsidRDefault="00B204E3" w:rsidP="00B6627C">
            <w:pPr>
              <w:spacing w:line="360" w:lineRule="auto"/>
              <w:jc w:val="center"/>
              <w:rPr>
                <w:sz w:val="18"/>
                <w:szCs w:val="18"/>
              </w:rPr>
            </w:pPr>
            <w:r w:rsidRPr="00C05ABF">
              <w:rPr>
                <w:sz w:val="18"/>
                <w:szCs w:val="18"/>
              </w:rPr>
              <w:t>3.9</w:t>
            </w:r>
          </w:p>
        </w:tc>
        <w:tc>
          <w:tcPr>
            <w:tcW w:w="993" w:type="dxa"/>
            <w:tcBorders>
              <w:top w:val="single" w:sz="4" w:space="0" w:color="auto"/>
            </w:tcBorders>
            <w:vAlign w:val="center"/>
          </w:tcPr>
          <w:p w14:paraId="38C28A4A" w14:textId="20A9DAE8" w:rsidR="00B204E3" w:rsidRPr="00C05ABF" w:rsidRDefault="00E558E3" w:rsidP="00B6627C">
            <w:pPr>
              <w:spacing w:line="360" w:lineRule="auto"/>
              <w:jc w:val="center"/>
              <w:rPr>
                <w:sz w:val="18"/>
                <w:szCs w:val="18"/>
              </w:rPr>
            </w:pPr>
            <w:r>
              <w:rPr>
                <w:sz w:val="18"/>
                <w:szCs w:val="18"/>
              </w:rPr>
              <w:t>4.9</w:t>
            </w:r>
          </w:p>
        </w:tc>
      </w:tr>
      <w:tr w:rsidR="00B204E3" w:rsidRPr="009C13BA" w14:paraId="4477E58E" w14:textId="76C7577E" w:rsidTr="00B6627C">
        <w:trPr>
          <w:jc w:val="center"/>
        </w:trPr>
        <w:tc>
          <w:tcPr>
            <w:tcW w:w="5098" w:type="dxa"/>
          </w:tcPr>
          <w:p w14:paraId="7BEE4D88" w14:textId="1B576623" w:rsidR="00B204E3" w:rsidRPr="00C05ABF" w:rsidRDefault="00B204E3" w:rsidP="00137259">
            <w:pPr>
              <w:spacing w:line="360" w:lineRule="auto"/>
              <w:rPr>
                <w:sz w:val="18"/>
                <w:szCs w:val="18"/>
              </w:rPr>
            </w:pPr>
            <w:r w:rsidRPr="00C05ABF">
              <w:rPr>
                <w:sz w:val="18"/>
                <w:szCs w:val="18"/>
              </w:rPr>
              <w:t>Sometimes/often/always lonely</w:t>
            </w:r>
          </w:p>
        </w:tc>
        <w:tc>
          <w:tcPr>
            <w:tcW w:w="993" w:type="dxa"/>
            <w:vAlign w:val="center"/>
          </w:tcPr>
          <w:p w14:paraId="4F794ED9" w14:textId="6644210E" w:rsidR="00B204E3" w:rsidRPr="00C05ABF" w:rsidRDefault="00B204E3" w:rsidP="00B6627C">
            <w:pPr>
              <w:spacing w:line="360" w:lineRule="auto"/>
              <w:jc w:val="center"/>
              <w:rPr>
                <w:sz w:val="18"/>
                <w:szCs w:val="18"/>
              </w:rPr>
            </w:pPr>
            <w:r>
              <w:rPr>
                <w:sz w:val="18"/>
                <w:szCs w:val="18"/>
              </w:rPr>
              <w:t>20.2</w:t>
            </w:r>
          </w:p>
        </w:tc>
        <w:tc>
          <w:tcPr>
            <w:tcW w:w="993" w:type="dxa"/>
            <w:vAlign w:val="center"/>
          </w:tcPr>
          <w:p w14:paraId="00214B67" w14:textId="5EA098F7" w:rsidR="00B204E3" w:rsidRPr="00C05ABF" w:rsidRDefault="00B204E3" w:rsidP="00B6627C">
            <w:pPr>
              <w:spacing w:line="360" w:lineRule="auto"/>
              <w:jc w:val="center"/>
              <w:rPr>
                <w:sz w:val="18"/>
                <w:szCs w:val="18"/>
              </w:rPr>
            </w:pPr>
            <w:r w:rsidRPr="00C05ABF">
              <w:rPr>
                <w:sz w:val="18"/>
                <w:szCs w:val="18"/>
              </w:rPr>
              <w:t>13.</w:t>
            </w:r>
            <w:r w:rsidR="002100B2">
              <w:rPr>
                <w:sz w:val="18"/>
                <w:szCs w:val="18"/>
              </w:rPr>
              <w:t>7</w:t>
            </w:r>
          </w:p>
        </w:tc>
        <w:tc>
          <w:tcPr>
            <w:tcW w:w="993" w:type="dxa"/>
            <w:vAlign w:val="center"/>
          </w:tcPr>
          <w:p w14:paraId="58747F26" w14:textId="2D17128D" w:rsidR="00B204E3" w:rsidRPr="00C05ABF" w:rsidRDefault="00E900DA" w:rsidP="00B6627C">
            <w:pPr>
              <w:spacing w:line="360" w:lineRule="auto"/>
              <w:jc w:val="center"/>
              <w:rPr>
                <w:sz w:val="18"/>
                <w:szCs w:val="18"/>
              </w:rPr>
            </w:pPr>
            <w:r>
              <w:rPr>
                <w:sz w:val="18"/>
                <w:szCs w:val="18"/>
              </w:rPr>
              <w:t>16.9</w:t>
            </w:r>
          </w:p>
        </w:tc>
      </w:tr>
      <w:tr w:rsidR="00B204E3" w:rsidRPr="009C13BA" w14:paraId="45FEEA9E" w14:textId="2BCA125D" w:rsidTr="00B6627C">
        <w:trPr>
          <w:jc w:val="center"/>
        </w:trPr>
        <w:tc>
          <w:tcPr>
            <w:tcW w:w="5098" w:type="dxa"/>
          </w:tcPr>
          <w:p w14:paraId="440105DE" w14:textId="7CE8F1F9" w:rsidR="00B204E3" w:rsidRPr="00C05ABF" w:rsidRDefault="00B204E3" w:rsidP="00137259">
            <w:pPr>
              <w:spacing w:line="360" w:lineRule="auto"/>
              <w:rPr>
                <w:sz w:val="18"/>
                <w:szCs w:val="18"/>
              </w:rPr>
            </w:pPr>
            <w:r w:rsidRPr="00C05ABF">
              <w:rPr>
                <w:sz w:val="18"/>
                <w:szCs w:val="18"/>
              </w:rPr>
              <w:t>Probabl</w:t>
            </w:r>
            <w:r>
              <w:rPr>
                <w:sz w:val="18"/>
                <w:szCs w:val="18"/>
              </w:rPr>
              <w:t>e</w:t>
            </w:r>
            <w:r w:rsidRPr="00C05ABF">
              <w:rPr>
                <w:sz w:val="18"/>
                <w:szCs w:val="18"/>
              </w:rPr>
              <w:t xml:space="preserve"> mental health problem</w:t>
            </w:r>
          </w:p>
        </w:tc>
        <w:tc>
          <w:tcPr>
            <w:tcW w:w="993" w:type="dxa"/>
            <w:vAlign w:val="center"/>
          </w:tcPr>
          <w:p w14:paraId="3EED983B" w14:textId="6EF6D553" w:rsidR="00B204E3" w:rsidRDefault="00B204E3" w:rsidP="00B6627C">
            <w:pPr>
              <w:spacing w:line="360" w:lineRule="auto"/>
              <w:jc w:val="center"/>
              <w:rPr>
                <w:sz w:val="18"/>
                <w:szCs w:val="18"/>
              </w:rPr>
            </w:pPr>
            <w:r>
              <w:rPr>
                <w:sz w:val="18"/>
                <w:szCs w:val="18"/>
              </w:rPr>
              <w:t>15.</w:t>
            </w:r>
            <w:r w:rsidR="009A7D64">
              <w:rPr>
                <w:sz w:val="18"/>
                <w:szCs w:val="18"/>
              </w:rPr>
              <w:t>0</w:t>
            </w:r>
          </w:p>
        </w:tc>
        <w:tc>
          <w:tcPr>
            <w:tcW w:w="993" w:type="dxa"/>
            <w:vAlign w:val="center"/>
          </w:tcPr>
          <w:p w14:paraId="764AFAB9" w14:textId="7E989734" w:rsidR="00B204E3" w:rsidRPr="00C05ABF" w:rsidRDefault="00B204E3" w:rsidP="00B6627C">
            <w:pPr>
              <w:spacing w:line="360" w:lineRule="auto"/>
              <w:jc w:val="center"/>
              <w:rPr>
                <w:sz w:val="18"/>
                <w:szCs w:val="18"/>
              </w:rPr>
            </w:pPr>
            <w:r>
              <w:rPr>
                <w:sz w:val="18"/>
                <w:szCs w:val="18"/>
              </w:rPr>
              <w:t>12.5</w:t>
            </w:r>
          </w:p>
        </w:tc>
        <w:tc>
          <w:tcPr>
            <w:tcW w:w="993" w:type="dxa"/>
            <w:vAlign w:val="center"/>
          </w:tcPr>
          <w:p w14:paraId="022F5281" w14:textId="57F7F475" w:rsidR="00B204E3" w:rsidRDefault="00E900DA" w:rsidP="00B6627C">
            <w:pPr>
              <w:spacing w:line="360" w:lineRule="auto"/>
              <w:jc w:val="center"/>
              <w:rPr>
                <w:sz w:val="18"/>
                <w:szCs w:val="18"/>
              </w:rPr>
            </w:pPr>
            <w:r>
              <w:rPr>
                <w:sz w:val="18"/>
                <w:szCs w:val="18"/>
              </w:rPr>
              <w:t>13.7</w:t>
            </w:r>
          </w:p>
        </w:tc>
      </w:tr>
      <w:tr w:rsidR="00B204E3" w:rsidRPr="009C13BA" w14:paraId="7F176B67" w14:textId="15D641C4" w:rsidTr="00B6627C">
        <w:trPr>
          <w:jc w:val="center"/>
        </w:trPr>
        <w:tc>
          <w:tcPr>
            <w:tcW w:w="5098" w:type="dxa"/>
            <w:tcBorders>
              <w:bottom w:val="single" w:sz="4" w:space="0" w:color="auto"/>
            </w:tcBorders>
          </w:tcPr>
          <w:p w14:paraId="310F9115" w14:textId="444BFA10" w:rsidR="00B204E3" w:rsidRPr="00C05ABF" w:rsidRDefault="00B204E3" w:rsidP="00137259">
            <w:pPr>
              <w:spacing w:line="360" w:lineRule="auto"/>
              <w:rPr>
                <w:sz w:val="18"/>
                <w:szCs w:val="18"/>
              </w:rPr>
            </w:pPr>
            <w:r>
              <w:rPr>
                <w:sz w:val="18"/>
                <w:szCs w:val="18"/>
              </w:rPr>
              <w:t>Good quality of life</w:t>
            </w:r>
          </w:p>
        </w:tc>
        <w:tc>
          <w:tcPr>
            <w:tcW w:w="993" w:type="dxa"/>
            <w:tcBorders>
              <w:bottom w:val="single" w:sz="4" w:space="0" w:color="auto"/>
            </w:tcBorders>
            <w:vAlign w:val="center"/>
          </w:tcPr>
          <w:p w14:paraId="69898D6E" w14:textId="61CA99EE" w:rsidR="00B204E3" w:rsidRDefault="00B204E3" w:rsidP="00B6627C">
            <w:pPr>
              <w:spacing w:line="360" w:lineRule="auto"/>
              <w:jc w:val="center"/>
              <w:rPr>
                <w:sz w:val="18"/>
                <w:szCs w:val="18"/>
              </w:rPr>
            </w:pPr>
            <w:r>
              <w:rPr>
                <w:sz w:val="18"/>
                <w:szCs w:val="18"/>
              </w:rPr>
              <w:t>74.4</w:t>
            </w:r>
          </w:p>
        </w:tc>
        <w:tc>
          <w:tcPr>
            <w:tcW w:w="993" w:type="dxa"/>
            <w:tcBorders>
              <w:bottom w:val="single" w:sz="4" w:space="0" w:color="auto"/>
            </w:tcBorders>
            <w:vAlign w:val="center"/>
          </w:tcPr>
          <w:p w14:paraId="3D3D98B0" w14:textId="3AC31857" w:rsidR="00B204E3" w:rsidRPr="00C05ABF" w:rsidRDefault="00B204E3" w:rsidP="00B6627C">
            <w:pPr>
              <w:spacing w:line="360" w:lineRule="auto"/>
              <w:jc w:val="center"/>
              <w:rPr>
                <w:sz w:val="18"/>
                <w:szCs w:val="18"/>
              </w:rPr>
            </w:pPr>
            <w:r>
              <w:rPr>
                <w:sz w:val="18"/>
                <w:szCs w:val="18"/>
              </w:rPr>
              <w:t>85.8</w:t>
            </w:r>
          </w:p>
        </w:tc>
        <w:tc>
          <w:tcPr>
            <w:tcW w:w="993" w:type="dxa"/>
            <w:tcBorders>
              <w:bottom w:val="single" w:sz="4" w:space="0" w:color="auto"/>
            </w:tcBorders>
            <w:vAlign w:val="center"/>
          </w:tcPr>
          <w:p w14:paraId="57A5ADF4" w14:textId="7B6AED24" w:rsidR="00B204E3" w:rsidRDefault="00E900DA" w:rsidP="00B6627C">
            <w:pPr>
              <w:spacing w:line="360" w:lineRule="auto"/>
              <w:jc w:val="center"/>
              <w:rPr>
                <w:sz w:val="18"/>
                <w:szCs w:val="18"/>
              </w:rPr>
            </w:pPr>
            <w:r>
              <w:rPr>
                <w:sz w:val="18"/>
                <w:szCs w:val="18"/>
              </w:rPr>
              <w:t>80.1</w:t>
            </w:r>
          </w:p>
        </w:tc>
      </w:tr>
      <w:tr w:rsidR="00B204E3" w:rsidRPr="009C13BA" w14:paraId="41D3929F" w14:textId="26386556" w:rsidTr="00B6627C">
        <w:trPr>
          <w:jc w:val="center"/>
        </w:trPr>
        <w:tc>
          <w:tcPr>
            <w:tcW w:w="5098" w:type="dxa"/>
            <w:tcBorders>
              <w:top w:val="single" w:sz="4" w:space="0" w:color="auto"/>
            </w:tcBorders>
          </w:tcPr>
          <w:p w14:paraId="5F7B8F74" w14:textId="259BCAD0" w:rsidR="00B204E3" w:rsidRPr="00C05ABF" w:rsidRDefault="00B204E3" w:rsidP="00137259">
            <w:pPr>
              <w:spacing w:line="360" w:lineRule="auto"/>
              <w:rPr>
                <w:sz w:val="18"/>
                <w:szCs w:val="18"/>
              </w:rPr>
            </w:pPr>
            <w:r w:rsidRPr="00C05ABF">
              <w:rPr>
                <w:sz w:val="18"/>
                <w:szCs w:val="18"/>
              </w:rPr>
              <w:t>Female</w:t>
            </w:r>
          </w:p>
        </w:tc>
        <w:tc>
          <w:tcPr>
            <w:tcW w:w="993" w:type="dxa"/>
            <w:tcBorders>
              <w:top w:val="single" w:sz="4" w:space="0" w:color="auto"/>
            </w:tcBorders>
          </w:tcPr>
          <w:p w14:paraId="26F9C2D8" w14:textId="4507860B" w:rsidR="00B204E3" w:rsidRDefault="00B204E3" w:rsidP="00137259">
            <w:pPr>
              <w:spacing w:line="360" w:lineRule="auto"/>
              <w:rPr>
                <w:sz w:val="18"/>
                <w:szCs w:val="18"/>
              </w:rPr>
            </w:pPr>
          </w:p>
        </w:tc>
        <w:tc>
          <w:tcPr>
            <w:tcW w:w="993" w:type="dxa"/>
            <w:tcBorders>
              <w:top w:val="single" w:sz="4" w:space="0" w:color="auto"/>
            </w:tcBorders>
          </w:tcPr>
          <w:p w14:paraId="223B501A" w14:textId="60F22879" w:rsidR="00B204E3" w:rsidRPr="00C05ABF" w:rsidRDefault="00B204E3" w:rsidP="00137259">
            <w:pPr>
              <w:spacing w:line="360" w:lineRule="auto"/>
              <w:rPr>
                <w:sz w:val="18"/>
                <w:szCs w:val="18"/>
              </w:rPr>
            </w:pPr>
          </w:p>
        </w:tc>
        <w:tc>
          <w:tcPr>
            <w:tcW w:w="993" w:type="dxa"/>
            <w:tcBorders>
              <w:top w:val="single" w:sz="4" w:space="0" w:color="auto"/>
            </w:tcBorders>
            <w:vAlign w:val="center"/>
          </w:tcPr>
          <w:p w14:paraId="5C946444" w14:textId="4712DA21" w:rsidR="00B204E3" w:rsidRDefault="00247BEE" w:rsidP="00B6627C">
            <w:pPr>
              <w:spacing w:line="360" w:lineRule="auto"/>
              <w:jc w:val="center"/>
              <w:rPr>
                <w:sz w:val="18"/>
                <w:szCs w:val="18"/>
              </w:rPr>
            </w:pPr>
            <w:r>
              <w:rPr>
                <w:sz w:val="18"/>
                <w:szCs w:val="18"/>
              </w:rPr>
              <w:t>50.9</w:t>
            </w:r>
          </w:p>
        </w:tc>
      </w:tr>
      <w:tr w:rsidR="00B204E3" w:rsidRPr="009C13BA" w14:paraId="080432E7" w14:textId="2255BF73" w:rsidTr="00B6627C">
        <w:trPr>
          <w:jc w:val="center"/>
        </w:trPr>
        <w:tc>
          <w:tcPr>
            <w:tcW w:w="5098" w:type="dxa"/>
          </w:tcPr>
          <w:p w14:paraId="6CACB81F" w14:textId="260EDE83" w:rsidR="00B204E3" w:rsidRPr="00FD3290" w:rsidRDefault="00B204E3" w:rsidP="00137259">
            <w:pPr>
              <w:spacing w:line="360" w:lineRule="auto"/>
              <w:rPr>
                <w:i/>
                <w:iCs/>
                <w:sz w:val="18"/>
                <w:szCs w:val="18"/>
              </w:rPr>
            </w:pPr>
            <w:r w:rsidRPr="00FD3290">
              <w:rPr>
                <w:i/>
                <w:iCs/>
                <w:sz w:val="18"/>
                <w:szCs w:val="18"/>
              </w:rPr>
              <w:t>Age category</w:t>
            </w:r>
          </w:p>
        </w:tc>
        <w:tc>
          <w:tcPr>
            <w:tcW w:w="993" w:type="dxa"/>
          </w:tcPr>
          <w:p w14:paraId="7F71027E" w14:textId="77777777" w:rsidR="00B204E3" w:rsidRPr="00C05ABF" w:rsidRDefault="00B204E3" w:rsidP="00137259">
            <w:pPr>
              <w:spacing w:line="360" w:lineRule="auto"/>
              <w:rPr>
                <w:sz w:val="18"/>
                <w:szCs w:val="18"/>
              </w:rPr>
            </w:pPr>
          </w:p>
        </w:tc>
        <w:tc>
          <w:tcPr>
            <w:tcW w:w="993" w:type="dxa"/>
          </w:tcPr>
          <w:p w14:paraId="39207FB6" w14:textId="1151853C" w:rsidR="00B204E3" w:rsidRPr="00C05ABF" w:rsidRDefault="00B204E3" w:rsidP="00137259">
            <w:pPr>
              <w:spacing w:line="360" w:lineRule="auto"/>
              <w:rPr>
                <w:sz w:val="18"/>
                <w:szCs w:val="18"/>
              </w:rPr>
            </w:pPr>
          </w:p>
        </w:tc>
        <w:tc>
          <w:tcPr>
            <w:tcW w:w="993" w:type="dxa"/>
            <w:vAlign w:val="center"/>
          </w:tcPr>
          <w:p w14:paraId="4E9E6B81" w14:textId="77777777" w:rsidR="00B204E3" w:rsidRPr="00C05ABF" w:rsidRDefault="00B204E3" w:rsidP="00B6627C">
            <w:pPr>
              <w:spacing w:line="360" w:lineRule="auto"/>
              <w:jc w:val="center"/>
              <w:rPr>
                <w:sz w:val="18"/>
                <w:szCs w:val="18"/>
              </w:rPr>
            </w:pPr>
          </w:p>
        </w:tc>
      </w:tr>
      <w:tr w:rsidR="00B204E3" w:rsidRPr="009C13BA" w14:paraId="5D97C068" w14:textId="3E903334" w:rsidTr="00B6627C">
        <w:trPr>
          <w:jc w:val="center"/>
        </w:trPr>
        <w:tc>
          <w:tcPr>
            <w:tcW w:w="5098" w:type="dxa"/>
          </w:tcPr>
          <w:p w14:paraId="242176E6" w14:textId="28A0031E" w:rsidR="00B204E3" w:rsidRPr="00C05ABF" w:rsidRDefault="00B204E3" w:rsidP="009762A2">
            <w:pPr>
              <w:spacing w:line="360" w:lineRule="auto"/>
              <w:rPr>
                <w:sz w:val="18"/>
                <w:szCs w:val="18"/>
              </w:rPr>
            </w:pPr>
            <w:r>
              <w:rPr>
                <w:sz w:val="18"/>
                <w:szCs w:val="18"/>
              </w:rPr>
              <w:t xml:space="preserve"> </w:t>
            </w:r>
            <w:r w:rsidRPr="00C05ABF">
              <w:rPr>
                <w:sz w:val="18"/>
                <w:szCs w:val="18"/>
              </w:rPr>
              <w:t>15-29</w:t>
            </w:r>
            <w:r>
              <w:rPr>
                <w:sz w:val="18"/>
                <w:szCs w:val="18"/>
              </w:rPr>
              <w:t xml:space="preserve"> years</w:t>
            </w:r>
          </w:p>
        </w:tc>
        <w:tc>
          <w:tcPr>
            <w:tcW w:w="993" w:type="dxa"/>
          </w:tcPr>
          <w:p w14:paraId="216A43D9" w14:textId="0E348945" w:rsidR="00B204E3" w:rsidRDefault="00B204E3" w:rsidP="009762A2">
            <w:pPr>
              <w:spacing w:line="360" w:lineRule="auto"/>
              <w:rPr>
                <w:sz w:val="18"/>
                <w:szCs w:val="18"/>
              </w:rPr>
            </w:pPr>
          </w:p>
        </w:tc>
        <w:tc>
          <w:tcPr>
            <w:tcW w:w="993" w:type="dxa"/>
          </w:tcPr>
          <w:p w14:paraId="32DB2B20" w14:textId="0810F931" w:rsidR="00B204E3" w:rsidRPr="00C05ABF" w:rsidRDefault="00B204E3" w:rsidP="009762A2">
            <w:pPr>
              <w:spacing w:line="360" w:lineRule="auto"/>
              <w:rPr>
                <w:sz w:val="18"/>
                <w:szCs w:val="18"/>
              </w:rPr>
            </w:pPr>
          </w:p>
        </w:tc>
        <w:tc>
          <w:tcPr>
            <w:tcW w:w="993" w:type="dxa"/>
            <w:vAlign w:val="center"/>
          </w:tcPr>
          <w:p w14:paraId="3D09201E" w14:textId="710276F3" w:rsidR="00B204E3" w:rsidRDefault="00064D1B" w:rsidP="00B6627C">
            <w:pPr>
              <w:spacing w:line="360" w:lineRule="auto"/>
              <w:jc w:val="center"/>
              <w:rPr>
                <w:sz w:val="18"/>
                <w:szCs w:val="18"/>
              </w:rPr>
            </w:pPr>
            <w:r>
              <w:rPr>
                <w:sz w:val="18"/>
                <w:szCs w:val="18"/>
              </w:rPr>
              <w:t>22.9</w:t>
            </w:r>
          </w:p>
        </w:tc>
      </w:tr>
      <w:tr w:rsidR="00B204E3" w:rsidRPr="009C13BA" w14:paraId="3535B069" w14:textId="01719ED4" w:rsidTr="00B6627C">
        <w:trPr>
          <w:jc w:val="center"/>
        </w:trPr>
        <w:tc>
          <w:tcPr>
            <w:tcW w:w="5098" w:type="dxa"/>
          </w:tcPr>
          <w:p w14:paraId="72E1EB8D" w14:textId="66AF99BB" w:rsidR="00B204E3" w:rsidRPr="00C05ABF" w:rsidRDefault="00B204E3" w:rsidP="009762A2">
            <w:pPr>
              <w:spacing w:line="360" w:lineRule="auto"/>
              <w:rPr>
                <w:sz w:val="18"/>
                <w:szCs w:val="18"/>
              </w:rPr>
            </w:pPr>
            <w:r>
              <w:rPr>
                <w:sz w:val="18"/>
                <w:szCs w:val="18"/>
              </w:rPr>
              <w:t xml:space="preserve"> </w:t>
            </w:r>
            <w:r w:rsidRPr="00C05ABF">
              <w:rPr>
                <w:sz w:val="18"/>
                <w:szCs w:val="18"/>
              </w:rPr>
              <w:t>30-49</w:t>
            </w:r>
          </w:p>
        </w:tc>
        <w:tc>
          <w:tcPr>
            <w:tcW w:w="993" w:type="dxa"/>
          </w:tcPr>
          <w:p w14:paraId="7689B3FE" w14:textId="08BC5281" w:rsidR="00B204E3" w:rsidRDefault="00B204E3" w:rsidP="009762A2">
            <w:pPr>
              <w:spacing w:line="360" w:lineRule="auto"/>
              <w:rPr>
                <w:sz w:val="18"/>
                <w:szCs w:val="18"/>
              </w:rPr>
            </w:pPr>
          </w:p>
        </w:tc>
        <w:tc>
          <w:tcPr>
            <w:tcW w:w="993" w:type="dxa"/>
          </w:tcPr>
          <w:p w14:paraId="60167E66" w14:textId="1082E5F3" w:rsidR="00B204E3" w:rsidRPr="00C05ABF" w:rsidRDefault="00B204E3" w:rsidP="009762A2">
            <w:pPr>
              <w:spacing w:line="360" w:lineRule="auto"/>
              <w:rPr>
                <w:sz w:val="18"/>
                <w:szCs w:val="18"/>
              </w:rPr>
            </w:pPr>
          </w:p>
        </w:tc>
        <w:tc>
          <w:tcPr>
            <w:tcW w:w="993" w:type="dxa"/>
            <w:vAlign w:val="center"/>
          </w:tcPr>
          <w:p w14:paraId="7EE6D92B" w14:textId="5A6DD6DC" w:rsidR="00B204E3" w:rsidRDefault="00064D1B" w:rsidP="00B6627C">
            <w:pPr>
              <w:spacing w:line="360" w:lineRule="auto"/>
              <w:jc w:val="center"/>
              <w:rPr>
                <w:sz w:val="18"/>
                <w:szCs w:val="18"/>
              </w:rPr>
            </w:pPr>
            <w:r>
              <w:rPr>
                <w:sz w:val="18"/>
                <w:szCs w:val="18"/>
              </w:rPr>
              <w:t>36.0</w:t>
            </w:r>
          </w:p>
        </w:tc>
      </w:tr>
      <w:tr w:rsidR="00B204E3" w:rsidRPr="009C13BA" w14:paraId="6FCEDEB8" w14:textId="0FEF51B3" w:rsidTr="00B6627C">
        <w:trPr>
          <w:jc w:val="center"/>
        </w:trPr>
        <w:tc>
          <w:tcPr>
            <w:tcW w:w="5098" w:type="dxa"/>
          </w:tcPr>
          <w:p w14:paraId="67BD7041" w14:textId="79A99B6F" w:rsidR="00B204E3" w:rsidRPr="00C05ABF" w:rsidRDefault="00B204E3" w:rsidP="009762A2">
            <w:pPr>
              <w:spacing w:line="360" w:lineRule="auto"/>
              <w:rPr>
                <w:sz w:val="18"/>
                <w:szCs w:val="18"/>
              </w:rPr>
            </w:pPr>
            <w:r>
              <w:rPr>
                <w:sz w:val="18"/>
                <w:szCs w:val="18"/>
              </w:rPr>
              <w:t xml:space="preserve"> </w:t>
            </w:r>
            <w:r w:rsidRPr="00C05ABF">
              <w:rPr>
                <w:sz w:val="18"/>
                <w:szCs w:val="18"/>
              </w:rPr>
              <w:t>50-64</w:t>
            </w:r>
          </w:p>
        </w:tc>
        <w:tc>
          <w:tcPr>
            <w:tcW w:w="993" w:type="dxa"/>
          </w:tcPr>
          <w:p w14:paraId="3D98F935" w14:textId="48928DF1" w:rsidR="00B204E3" w:rsidRDefault="00B204E3" w:rsidP="009762A2">
            <w:pPr>
              <w:spacing w:line="360" w:lineRule="auto"/>
              <w:rPr>
                <w:sz w:val="18"/>
                <w:szCs w:val="18"/>
              </w:rPr>
            </w:pPr>
          </w:p>
        </w:tc>
        <w:tc>
          <w:tcPr>
            <w:tcW w:w="993" w:type="dxa"/>
          </w:tcPr>
          <w:p w14:paraId="69884BB9" w14:textId="3BB5CD52" w:rsidR="00B204E3" w:rsidRPr="00C05ABF" w:rsidRDefault="00B204E3" w:rsidP="009762A2">
            <w:pPr>
              <w:spacing w:line="360" w:lineRule="auto"/>
              <w:rPr>
                <w:sz w:val="18"/>
                <w:szCs w:val="18"/>
              </w:rPr>
            </w:pPr>
          </w:p>
        </w:tc>
        <w:tc>
          <w:tcPr>
            <w:tcW w:w="993" w:type="dxa"/>
            <w:vAlign w:val="center"/>
          </w:tcPr>
          <w:p w14:paraId="6B1DE74A" w14:textId="4B66171C" w:rsidR="00B204E3" w:rsidRDefault="00064D1B" w:rsidP="00B6627C">
            <w:pPr>
              <w:spacing w:line="360" w:lineRule="auto"/>
              <w:jc w:val="center"/>
              <w:rPr>
                <w:sz w:val="18"/>
                <w:szCs w:val="18"/>
              </w:rPr>
            </w:pPr>
            <w:r>
              <w:rPr>
                <w:sz w:val="18"/>
                <w:szCs w:val="18"/>
              </w:rPr>
              <w:t>23.1</w:t>
            </w:r>
          </w:p>
        </w:tc>
      </w:tr>
      <w:tr w:rsidR="00B204E3" w:rsidRPr="009C13BA" w14:paraId="195C5524" w14:textId="79BE9403" w:rsidTr="00B6627C">
        <w:trPr>
          <w:jc w:val="center"/>
        </w:trPr>
        <w:tc>
          <w:tcPr>
            <w:tcW w:w="5098" w:type="dxa"/>
          </w:tcPr>
          <w:p w14:paraId="6E431C6C" w14:textId="1DA4506B" w:rsidR="00B204E3" w:rsidRPr="00C05ABF" w:rsidRDefault="00B204E3" w:rsidP="009762A2">
            <w:pPr>
              <w:spacing w:line="360" w:lineRule="auto"/>
              <w:rPr>
                <w:sz w:val="18"/>
                <w:szCs w:val="18"/>
              </w:rPr>
            </w:pPr>
            <w:r>
              <w:rPr>
                <w:sz w:val="18"/>
                <w:szCs w:val="18"/>
              </w:rPr>
              <w:t xml:space="preserve"> </w:t>
            </w:r>
            <w:r w:rsidRPr="00C05ABF">
              <w:rPr>
                <w:sz w:val="18"/>
                <w:szCs w:val="18"/>
              </w:rPr>
              <w:t>65+</w:t>
            </w:r>
          </w:p>
        </w:tc>
        <w:tc>
          <w:tcPr>
            <w:tcW w:w="993" w:type="dxa"/>
          </w:tcPr>
          <w:p w14:paraId="57D0104F" w14:textId="21CA51B7" w:rsidR="00B204E3" w:rsidRDefault="00B204E3" w:rsidP="009762A2">
            <w:pPr>
              <w:spacing w:line="360" w:lineRule="auto"/>
              <w:rPr>
                <w:sz w:val="18"/>
                <w:szCs w:val="18"/>
              </w:rPr>
            </w:pPr>
          </w:p>
        </w:tc>
        <w:tc>
          <w:tcPr>
            <w:tcW w:w="993" w:type="dxa"/>
          </w:tcPr>
          <w:p w14:paraId="1FA64483" w14:textId="395C3782" w:rsidR="00B204E3" w:rsidRPr="00C05ABF" w:rsidRDefault="00B204E3" w:rsidP="009762A2">
            <w:pPr>
              <w:spacing w:line="360" w:lineRule="auto"/>
              <w:rPr>
                <w:sz w:val="18"/>
                <w:szCs w:val="18"/>
              </w:rPr>
            </w:pPr>
          </w:p>
        </w:tc>
        <w:tc>
          <w:tcPr>
            <w:tcW w:w="993" w:type="dxa"/>
            <w:vAlign w:val="center"/>
          </w:tcPr>
          <w:p w14:paraId="1F412AA2" w14:textId="58A6687C" w:rsidR="00B204E3" w:rsidRDefault="00064D1B" w:rsidP="00B6627C">
            <w:pPr>
              <w:spacing w:line="360" w:lineRule="auto"/>
              <w:jc w:val="center"/>
              <w:rPr>
                <w:sz w:val="18"/>
                <w:szCs w:val="18"/>
              </w:rPr>
            </w:pPr>
            <w:r>
              <w:rPr>
                <w:sz w:val="18"/>
                <w:szCs w:val="18"/>
              </w:rPr>
              <w:t>18.0</w:t>
            </w:r>
          </w:p>
        </w:tc>
      </w:tr>
      <w:tr w:rsidR="00B204E3" w:rsidRPr="009C13BA" w14:paraId="582589D3" w14:textId="2BA2C995" w:rsidTr="00B6627C">
        <w:trPr>
          <w:jc w:val="center"/>
        </w:trPr>
        <w:tc>
          <w:tcPr>
            <w:tcW w:w="5098" w:type="dxa"/>
          </w:tcPr>
          <w:p w14:paraId="063B10A3" w14:textId="3741D468" w:rsidR="00B204E3" w:rsidRPr="00C05ABF" w:rsidRDefault="00B204E3" w:rsidP="009762A2">
            <w:pPr>
              <w:spacing w:line="360" w:lineRule="auto"/>
              <w:rPr>
                <w:sz w:val="18"/>
                <w:szCs w:val="18"/>
              </w:rPr>
            </w:pPr>
            <w:r w:rsidRPr="00C05ABF">
              <w:rPr>
                <w:sz w:val="18"/>
                <w:szCs w:val="18"/>
              </w:rPr>
              <w:t>Good health</w:t>
            </w:r>
          </w:p>
        </w:tc>
        <w:tc>
          <w:tcPr>
            <w:tcW w:w="993" w:type="dxa"/>
          </w:tcPr>
          <w:p w14:paraId="4010A9D6" w14:textId="468610D1" w:rsidR="00B204E3" w:rsidRDefault="00B204E3" w:rsidP="009762A2">
            <w:pPr>
              <w:spacing w:line="360" w:lineRule="auto"/>
              <w:rPr>
                <w:sz w:val="18"/>
                <w:szCs w:val="18"/>
              </w:rPr>
            </w:pPr>
          </w:p>
        </w:tc>
        <w:tc>
          <w:tcPr>
            <w:tcW w:w="993" w:type="dxa"/>
          </w:tcPr>
          <w:p w14:paraId="22F9E66D" w14:textId="69ADAB00" w:rsidR="00B204E3" w:rsidRPr="00C05ABF" w:rsidRDefault="00B204E3" w:rsidP="009762A2">
            <w:pPr>
              <w:spacing w:line="360" w:lineRule="auto"/>
              <w:rPr>
                <w:sz w:val="18"/>
                <w:szCs w:val="18"/>
              </w:rPr>
            </w:pPr>
          </w:p>
        </w:tc>
        <w:tc>
          <w:tcPr>
            <w:tcW w:w="993" w:type="dxa"/>
            <w:vAlign w:val="center"/>
          </w:tcPr>
          <w:p w14:paraId="1F1C130D" w14:textId="5639BAB8" w:rsidR="00B204E3" w:rsidRDefault="00F42163" w:rsidP="00B6627C">
            <w:pPr>
              <w:spacing w:line="360" w:lineRule="auto"/>
              <w:jc w:val="center"/>
              <w:rPr>
                <w:sz w:val="18"/>
                <w:szCs w:val="18"/>
              </w:rPr>
            </w:pPr>
            <w:r>
              <w:rPr>
                <w:sz w:val="18"/>
                <w:szCs w:val="18"/>
              </w:rPr>
              <w:t>82.0</w:t>
            </w:r>
          </w:p>
        </w:tc>
      </w:tr>
      <w:tr w:rsidR="00B204E3" w:rsidRPr="009C13BA" w14:paraId="63A5845E" w14:textId="1EF68411" w:rsidTr="00B6627C">
        <w:trPr>
          <w:jc w:val="center"/>
        </w:trPr>
        <w:tc>
          <w:tcPr>
            <w:tcW w:w="5098" w:type="dxa"/>
          </w:tcPr>
          <w:p w14:paraId="33254B47" w14:textId="7DC79056" w:rsidR="00B204E3" w:rsidRPr="00C05ABF" w:rsidRDefault="00B204E3" w:rsidP="009762A2">
            <w:pPr>
              <w:spacing w:line="360" w:lineRule="auto"/>
              <w:rPr>
                <w:sz w:val="18"/>
                <w:szCs w:val="18"/>
              </w:rPr>
            </w:pPr>
            <w:r w:rsidRPr="00C05ABF">
              <w:rPr>
                <w:sz w:val="18"/>
                <w:szCs w:val="18"/>
              </w:rPr>
              <w:t>Disability</w:t>
            </w:r>
          </w:p>
        </w:tc>
        <w:tc>
          <w:tcPr>
            <w:tcW w:w="993" w:type="dxa"/>
          </w:tcPr>
          <w:p w14:paraId="7472726A" w14:textId="512905B2" w:rsidR="00B204E3" w:rsidRDefault="00B204E3" w:rsidP="009762A2">
            <w:pPr>
              <w:spacing w:line="360" w:lineRule="auto"/>
              <w:rPr>
                <w:sz w:val="18"/>
                <w:szCs w:val="18"/>
              </w:rPr>
            </w:pPr>
          </w:p>
        </w:tc>
        <w:tc>
          <w:tcPr>
            <w:tcW w:w="993" w:type="dxa"/>
          </w:tcPr>
          <w:p w14:paraId="38C5C4A6" w14:textId="203FF865" w:rsidR="00B204E3" w:rsidRPr="00C05ABF" w:rsidRDefault="00B204E3" w:rsidP="009762A2">
            <w:pPr>
              <w:spacing w:line="360" w:lineRule="auto"/>
              <w:rPr>
                <w:sz w:val="18"/>
                <w:szCs w:val="18"/>
              </w:rPr>
            </w:pPr>
          </w:p>
        </w:tc>
        <w:tc>
          <w:tcPr>
            <w:tcW w:w="993" w:type="dxa"/>
            <w:vAlign w:val="center"/>
          </w:tcPr>
          <w:p w14:paraId="7235501F" w14:textId="0CB7738C" w:rsidR="00B204E3" w:rsidRDefault="00F42163" w:rsidP="00B6627C">
            <w:pPr>
              <w:spacing w:line="360" w:lineRule="auto"/>
              <w:jc w:val="center"/>
              <w:rPr>
                <w:sz w:val="18"/>
                <w:szCs w:val="18"/>
              </w:rPr>
            </w:pPr>
            <w:r>
              <w:rPr>
                <w:sz w:val="18"/>
                <w:szCs w:val="18"/>
              </w:rPr>
              <w:t>21.2</w:t>
            </w:r>
          </w:p>
        </w:tc>
      </w:tr>
      <w:tr w:rsidR="00B204E3" w:rsidRPr="009C13BA" w14:paraId="6A3C6497" w14:textId="6D8382A8" w:rsidTr="00B6627C">
        <w:trPr>
          <w:jc w:val="center"/>
        </w:trPr>
        <w:tc>
          <w:tcPr>
            <w:tcW w:w="5098" w:type="dxa"/>
          </w:tcPr>
          <w:p w14:paraId="5FD40075" w14:textId="4CFE9DF0" w:rsidR="00B204E3" w:rsidRPr="00C05ABF" w:rsidRDefault="00B204E3" w:rsidP="009762A2">
            <w:pPr>
              <w:spacing w:line="360" w:lineRule="auto"/>
              <w:rPr>
                <w:sz w:val="18"/>
                <w:szCs w:val="18"/>
              </w:rPr>
            </w:pPr>
            <w:r w:rsidRPr="00C05ABF">
              <w:rPr>
                <w:sz w:val="18"/>
                <w:szCs w:val="18"/>
              </w:rPr>
              <w:t>Not born in Ireland</w:t>
            </w:r>
          </w:p>
        </w:tc>
        <w:tc>
          <w:tcPr>
            <w:tcW w:w="993" w:type="dxa"/>
          </w:tcPr>
          <w:p w14:paraId="7044F234" w14:textId="12402D4F" w:rsidR="00B204E3" w:rsidRDefault="00B204E3" w:rsidP="009762A2">
            <w:pPr>
              <w:spacing w:line="360" w:lineRule="auto"/>
              <w:rPr>
                <w:sz w:val="18"/>
                <w:szCs w:val="18"/>
              </w:rPr>
            </w:pPr>
          </w:p>
        </w:tc>
        <w:tc>
          <w:tcPr>
            <w:tcW w:w="993" w:type="dxa"/>
          </w:tcPr>
          <w:p w14:paraId="63228170" w14:textId="2DCC50B0" w:rsidR="00B204E3" w:rsidRPr="00C05ABF" w:rsidRDefault="00B204E3" w:rsidP="009762A2">
            <w:pPr>
              <w:spacing w:line="360" w:lineRule="auto"/>
              <w:rPr>
                <w:sz w:val="18"/>
                <w:szCs w:val="18"/>
              </w:rPr>
            </w:pPr>
          </w:p>
        </w:tc>
        <w:tc>
          <w:tcPr>
            <w:tcW w:w="993" w:type="dxa"/>
            <w:vAlign w:val="center"/>
          </w:tcPr>
          <w:p w14:paraId="6938460A" w14:textId="41C9CA4C" w:rsidR="00B204E3" w:rsidRDefault="00F42163" w:rsidP="00B6627C">
            <w:pPr>
              <w:spacing w:line="360" w:lineRule="auto"/>
              <w:jc w:val="center"/>
              <w:rPr>
                <w:sz w:val="18"/>
                <w:szCs w:val="18"/>
              </w:rPr>
            </w:pPr>
            <w:r>
              <w:rPr>
                <w:sz w:val="18"/>
                <w:szCs w:val="18"/>
              </w:rPr>
              <w:t>18.6</w:t>
            </w:r>
          </w:p>
        </w:tc>
      </w:tr>
      <w:tr w:rsidR="00B204E3" w:rsidRPr="009C13BA" w14:paraId="0871A2F1" w14:textId="265355F3" w:rsidTr="00B6627C">
        <w:trPr>
          <w:jc w:val="center"/>
        </w:trPr>
        <w:tc>
          <w:tcPr>
            <w:tcW w:w="5098" w:type="dxa"/>
          </w:tcPr>
          <w:p w14:paraId="29EBEB78" w14:textId="389DBDC2" w:rsidR="00B204E3" w:rsidRPr="00FD3290" w:rsidRDefault="00B204E3" w:rsidP="009762A2">
            <w:pPr>
              <w:spacing w:line="360" w:lineRule="auto"/>
              <w:rPr>
                <w:i/>
                <w:iCs/>
                <w:sz w:val="18"/>
                <w:szCs w:val="18"/>
              </w:rPr>
            </w:pPr>
            <w:r w:rsidRPr="00FD3290">
              <w:rPr>
                <w:i/>
                <w:iCs/>
                <w:sz w:val="18"/>
                <w:szCs w:val="18"/>
              </w:rPr>
              <w:t>Marital status</w:t>
            </w:r>
          </w:p>
        </w:tc>
        <w:tc>
          <w:tcPr>
            <w:tcW w:w="993" w:type="dxa"/>
          </w:tcPr>
          <w:p w14:paraId="2934C159" w14:textId="77777777" w:rsidR="00B204E3" w:rsidRPr="00C05ABF" w:rsidRDefault="00B204E3" w:rsidP="009762A2">
            <w:pPr>
              <w:spacing w:line="360" w:lineRule="auto"/>
              <w:rPr>
                <w:sz w:val="18"/>
                <w:szCs w:val="18"/>
              </w:rPr>
            </w:pPr>
          </w:p>
        </w:tc>
        <w:tc>
          <w:tcPr>
            <w:tcW w:w="993" w:type="dxa"/>
          </w:tcPr>
          <w:p w14:paraId="5AB522AC" w14:textId="0641E682" w:rsidR="00B204E3" w:rsidRPr="00C05ABF" w:rsidRDefault="00B204E3" w:rsidP="009762A2">
            <w:pPr>
              <w:spacing w:line="360" w:lineRule="auto"/>
              <w:rPr>
                <w:sz w:val="18"/>
                <w:szCs w:val="18"/>
              </w:rPr>
            </w:pPr>
          </w:p>
        </w:tc>
        <w:tc>
          <w:tcPr>
            <w:tcW w:w="993" w:type="dxa"/>
            <w:vAlign w:val="center"/>
          </w:tcPr>
          <w:p w14:paraId="66150A4A" w14:textId="77777777" w:rsidR="00B204E3" w:rsidRPr="00C05ABF" w:rsidRDefault="00B204E3" w:rsidP="00B6627C">
            <w:pPr>
              <w:spacing w:line="360" w:lineRule="auto"/>
              <w:jc w:val="center"/>
              <w:rPr>
                <w:sz w:val="18"/>
                <w:szCs w:val="18"/>
              </w:rPr>
            </w:pPr>
          </w:p>
        </w:tc>
      </w:tr>
      <w:tr w:rsidR="00B204E3" w:rsidRPr="009C13BA" w14:paraId="0194727C" w14:textId="3C983C99" w:rsidTr="00B6627C">
        <w:trPr>
          <w:jc w:val="center"/>
        </w:trPr>
        <w:tc>
          <w:tcPr>
            <w:tcW w:w="5098" w:type="dxa"/>
          </w:tcPr>
          <w:p w14:paraId="0A84B9B7" w14:textId="50A17054" w:rsidR="00B204E3" w:rsidRPr="00C05ABF" w:rsidRDefault="00B204E3" w:rsidP="009762A2">
            <w:pPr>
              <w:spacing w:line="360" w:lineRule="auto"/>
              <w:rPr>
                <w:sz w:val="18"/>
                <w:szCs w:val="18"/>
              </w:rPr>
            </w:pPr>
            <w:r w:rsidRPr="00C05ABF">
              <w:rPr>
                <w:sz w:val="18"/>
                <w:szCs w:val="18"/>
              </w:rPr>
              <w:t>Single</w:t>
            </w:r>
          </w:p>
        </w:tc>
        <w:tc>
          <w:tcPr>
            <w:tcW w:w="993" w:type="dxa"/>
          </w:tcPr>
          <w:p w14:paraId="67C2F287" w14:textId="5EBA36AB" w:rsidR="00B204E3" w:rsidRDefault="00B204E3" w:rsidP="009762A2">
            <w:pPr>
              <w:spacing w:line="360" w:lineRule="auto"/>
              <w:rPr>
                <w:sz w:val="18"/>
                <w:szCs w:val="18"/>
              </w:rPr>
            </w:pPr>
          </w:p>
        </w:tc>
        <w:tc>
          <w:tcPr>
            <w:tcW w:w="993" w:type="dxa"/>
          </w:tcPr>
          <w:p w14:paraId="20D563DF" w14:textId="4316DA1C" w:rsidR="00B204E3" w:rsidRPr="00C05ABF" w:rsidRDefault="00B204E3" w:rsidP="009762A2">
            <w:pPr>
              <w:spacing w:line="360" w:lineRule="auto"/>
              <w:rPr>
                <w:sz w:val="18"/>
                <w:szCs w:val="18"/>
              </w:rPr>
            </w:pPr>
          </w:p>
        </w:tc>
        <w:tc>
          <w:tcPr>
            <w:tcW w:w="993" w:type="dxa"/>
            <w:vAlign w:val="center"/>
          </w:tcPr>
          <w:p w14:paraId="37598017" w14:textId="4A90EE9C" w:rsidR="00B204E3" w:rsidRDefault="008F6C98" w:rsidP="00B6627C">
            <w:pPr>
              <w:spacing w:line="360" w:lineRule="auto"/>
              <w:jc w:val="center"/>
              <w:rPr>
                <w:sz w:val="18"/>
                <w:szCs w:val="18"/>
              </w:rPr>
            </w:pPr>
            <w:r>
              <w:rPr>
                <w:sz w:val="18"/>
                <w:szCs w:val="18"/>
              </w:rPr>
              <w:t>40.8</w:t>
            </w:r>
          </w:p>
        </w:tc>
      </w:tr>
      <w:tr w:rsidR="00B204E3" w:rsidRPr="009C13BA" w14:paraId="289692C6" w14:textId="2534A879" w:rsidTr="00B6627C">
        <w:trPr>
          <w:jc w:val="center"/>
        </w:trPr>
        <w:tc>
          <w:tcPr>
            <w:tcW w:w="5098" w:type="dxa"/>
          </w:tcPr>
          <w:p w14:paraId="43D18F45" w14:textId="180BAA0E" w:rsidR="00B204E3" w:rsidRPr="00C05ABF" w:rsidRDefault="00B204E3" w:rsidP="009762A2">
            <w:pPr>
              <w:spacing w:line="360" w:lineRule="auto"/>
              <w:rPr>
                <w:sz w:val="18"/>
                <w:szCs w:val="18"/>
              </w:rPr>
            </w:pPr>
            <w:r w:rsidRPr="00C05ABF">
              <w:rPr>
                <w:sz w:val="18"/>
                <w:szCs w:val="18"/>
              </w:rPr>
              <w:t>Married/</w:t>
            </w:r>
            <w:r>
              <w:rPr>
                <w:sz w:val="18"/>
                <w:szCs w:val="18"/>
              </w:rPr>
              <w:t>c</w:t>
            </w:r>
            <w:r w:rsidRPr="00C05ABF">
              <w:rPr>
                <w:sz w:val="18"/>
                <w:szCs w:val="18"/>
              </w:rPr>
              <w:t>ivil partnership</w:t>
            </w:r>
          </w:p>
        </w:tc>
        <w:tc>
          <w:tcPr>
            <w:tcW w:w="993" w:type="dxa"/>
          </w:tcPr>
          <w:p w14:paraId="2480F918" w14:textId="521FEAF2" w:rsidR="00B204E3" w:rsidRDefault="00B204E3" w:rsidP="009762A2">
            <w:pPr>
              <w:spacing w:line="360" w:lineRule="auto"/>
              <w:rPr>
                <w:sz w:val="18"/>
                <w:szCs w:val="18"/>
              </w:rPr>
            </w:pPr>
          </w:p>
        </w:tc>
        <w:tc>
          <w:tcPr>
            <w:tcW w:w="993" w:type="dxa"/>
          </w:tcPr>
          <w:p w14:paraId="59723536" w14:textId="28D01770" w:rsidR="00B204E3" w:rsidRPr="00C05ABF" w:rsidRDefault="00B204E3" w:rsidP="009762A2">
            <w:pPr>
              <w:spacing w:line="360" w:lineRule="auto"/>
              <w:rPr>
                <w:sz w:val="18"/>
                <w:szCs w:val="18"/>
              </w:rPr>
            </w:pPr>
          </w:p>
        </w:tc>
        <w:tc>
          <w:tcPr>
            <w:tcW w:w="993" w:type="dxa"/>
            <w:vAlign w:val="center"/>
          </w:tcPr>
          <w:p w14:paraId="702FF089" w14:textId="00B3A5D0" w:rsidR="00B204E3" w:rsidRDefault="008F6C98" w:rsidP="00B6627C">
            <w:pPr>
              <w:spacing w:line="360" w:lineRule="auto"/>
              <w:jc w:val="center"/>
              <w:rPr>
                <w:sz w:val="18"/>
                <w:szCs w:val="18"/>
              </w:rPr>
            </w:pPr>
            <w:r>
              <w:rPr>
                <w:sz w:val="18"/>
                <w:szCs w:val="18"/>
              </w:rPr>
              <w:t>51.0</w:t>
            </w:r>
          </w:p>
        </w:tc>
      </w:tr>
      <w:tr w:rsidR="00B204E3" w:rsidRPr="009C13BA" w14:paraId="3C666D95" w14:textId="6B9F0A6B" w:rsidTr="00B6627C">
        <w:trPr>
          <w:jc w:val="center"/>
        </w:trPr>
        <w:tc>
          <w:tcPr>
            <w:tcW w:w="5098" w:type="dxa"/>
          </w:tcPr>
          <w:p w14:paraId="33898DF9" w14:textId="592756B6" w:rsidR="00B204E3" w:rsidRPr="00C05ABF" w:rsidRDefault="00B204E3" w:rsidP="009762A2">
            <w:pPr>
              <w:spacing w:line="360" w:lineRule="auto"/>
              <w:rPr>
                <w:sz w:val="18"/>
                <w:szCs w:val="18"/>
              </w:rPr>
            </w:pPr>
            <w:r w:rsidRPr="00C05ABF">
              <w:rPr>
                <w:sz w:val="18"/>
                <w:szCs w:val="18"/>
              </w:rPr>
              <w:t>Separated/divorced</w:t>
            </w:r>
          </w:p>
        </w:tc>
        <w:tc>
          <w:tcPr>
            <w:tcW w:w="993" w:type="dxa"/>
          </w:tcPr>
          <w:p w14:paraId="057AC6A4" w14:textId="65A1B1FC" w:rsidR="00B204E3" w:rsidRDefault="00B204E3" w:rsidP="009762A2">
            <w:pPr>
              <w:spacing w:line="360" w:lineRule="auto"/>
              <w:rPr>
                <w:sz w:val="18"/>
                <w:szCs w:val="18"/>
              </w:rPr>
            </w:pPr>
          </w:p>
        </w:tc>
        <w:tc>
          <w:tcPr>
            <w:tcW w:w="993" w:type="dxa"/>
          </w:tcPr>
          <w:p w14:paraId="3F184D58" w14:textId="2D8515CA" w:rsidR="00B204E3" w:rsidRPr="00C05ABF" w:rsidRDefault="00B204E3" w:rsidP="009762A2">
            <w:pPr>
              <w:spacing w:line="360" w:lineRule="auto"/>
              <w:rPr>
                <w:sz w:val="18"/>
                <w:szCs w:val="18"/>
              </w:rPr>
            </w:pPr>
          </w:p>
        </w:tc>
        <w:tc>
          <w:tcPr>
            <w:tcW w:w="993" w:type="dxa"/>
            <w:vAlign w:val="center"/>
          </w:tcPr>
          <w:p w14:paraId="4F5F9040" w14:textId="7B1EAB69" w:rsidR="00B204E3" w:rsidRDefault="008F6C98" w:rsidP="00B6627C">
            <w:pPr>
              <w:spacing w:line="360" w:lineRule="auto"/>
              <w:jc w:val="center"/>
              <w:rPr>
                <w:sz w:val="18"/>
                <w:szCs w:val="18"/>
              </w:rPr>
            </w:pPr>
            <w:r>
              <w:rPr>
                <w:sz w:val="18"/>
                <w:szCs w:val="18"/>
              </w:rPr>
              <w:t>5.5</w:t>
            </w:r>
          </w:p>
        </w:tc>
      </w:tr>
      <w:tr w:rsidR="00B204E3" w:rsidRPr="009C13BA" w14:paraId="6D9E8D69" w14:textId="56E9AC45" w:rsidTr="00B6627C">
        <w:trPr>
          <w:jc w:val="center"/>
        </w:trPr>
        <w:tc>
          <w:tcPr>
            <w:tcW w:w="5098" w:type="dxa"/>
          </w:tcPr>
          <w:p w14:paraId="4086C0AD" w14:textId="28F829C8" w:rsidR="00B204E3" w:rsidRPr="00C05ABF" w:rsidRDefault="00B204E3" w:rsidP="009762A2">
            <w:pPr>
              <w:spacing w:line="360" w:lineRule="auto"/>
              <w:rPr>
                <w:sz w:val="18"/>
                <w:szCs w:val="18"/>
              </w:rPr>
            </w:pPr>
            <w:r w:rsidRPr="00C05ABF">
              <w:rPr>
                <w:sz w:val="18"/>
                <w:szCs w:val="18"/>
              </w:rPr>
              <w:t>Widowed</w:t>
            </w:r>
          </w:p>
        </w:tc>
        <w:tc>
          <w:tcPr>
            <w:tcW w:w="993" w:type="dxa"/>
          </w:tcPr>
          <w:p w14:paraId="16FBB198" w14:textId="3C02F767" w:rsidR="00B204E3" w:rsidRDefault="00B204E3" w:rsidP="009762A2">
            <w:pPr>
              <w:spacing w:line="360" w:lineRule="auto"/>
              <w:rPr>
                <w:sz w:val="18"/>
                <w:szCs w:val="18"/>
              </w:rPr>
            </w:pPr>
          </w:p>
        </w:tc>
        <w:tc>
          <w:tcPr>
            <w:tcW w:w="993" w:type="dxa"/>
          </w:tcPr>
          <w:p w14:paraId="0C9A74A2" w14:textId="0735F4F4" w:rsidR="00B204E3" w:rsidRPr="00C05ABF" w:rsidRDefault="00B204E3" w:rsidP="009762A2">
            <w:pPr>
              <w:spacing w:line="360" w:lineRule="auto"/>
              <w:rPr>
                <w:sz w:val="18"/>
                <w:szCs w:val="18"/>
              </w:rPr>
            </w:pPr>
          </w:p>
        </w:tc>
        <w:tc>
          <w:tcPr>
            <w:tcW w:w="993" w:type="dxa"/>
            <w:vAlign w:val="center"/>
          </w:tcPr>
          <w:p w14:paraId="5D82C04F" w14:textId="24AC9F88" w:rsidR="00B204E3" w:rsidRDefault="008F6C98" w:rsidP="00B6627C">
            <w:pPr>
              <w:spacing w:line="360" w:lineRule="auto"/>
              <w:jc w:val="center"/>
              <w:rPr>
                <w:sz w:val="18"/>
                <w:szCs w:val="18"/>
              </w:rPr>
            </w:pPr>
            <w:r>
              <w:rPr>
                <w:sz w:val="18"/>
                <w:szCs w:val="18"/>
              </w:rPr>
              <w:t>2.7</w:t>
            </w:r>
          </w:p>
        </w:tc>
      </w:tr>
      <w:tr w:rsidR="00B204E3" w:rsidRPr="009C13BA" w14:paraId="3D8993F9" w14:textId="7A3D00A5" w:rsidTr="00B6627C">
        <w:trPr>
          <w:jc w:val="center"/>
        </w:trPr>
        <w:tc>
          <w:tcPr>
            <w:tcW w:w="5098" w:type="dxa"/>
          </w:tcPr>
          <w:p w14:paraId="76A3DC2B" w14:textId="23C31DA1" w:rsidR="00B204E3" w:rsidRPr="00C05ABF" w:rsidRDefault="00B204E3" w:rsidP="009762A2">
            <w:pPr>
              <w:spacing w:line="360" w:lineRule="auto"/>
              <w:rPr>
                <w:sz w:val="18"/>
                <w:szCs w:val="18"/>
              </w:rPr>
            </w:pPr>
            <w:r w:rsidRPr="00C05ABF">
              <w:rPr>
                <w:sz w:val="18"/>
                <w:szCs w:val="18"/>
              </w:rPr>
              <w:t>Has children under 18</w:t>
            </w:r>
          </w:p>
        </w:tc>
        <w:tc>
          <w:tcPr>
            <w:tcW w:w="993" w:type="dxa"/>
          </w:tcPr>
          <w:p w14:paraId="348B50EF" w14:textId="3DF95420" w:rsidR="00B204E3" w:rsidRDefault="00B204E3" w:rsidP="009762A2">
            <w:pPr>
              <w:spacing w:line="360" w:lineRule="auto"/>
              <w:rPr>
                <w:sz w:val="18"/>
                <w:szCs w:val="18"/>
              </w:rPr>
            </w:pPr>
          </w:p>
        </w:tc>
        <w:tc>
          <w:tcPr>
            <w:tcW w:w="993" w:type="dxa"/>
          </w:tcPr>
          <w:p w14:paraId="07425489" w14:textId="58D9FE30" w:rsidR="00B204E3" w:rsidRPr="00C05ABF" w:rsidRDefault="00B204E3" w:rsidP="009762A2">
            <w:pPr>
              <w:spacing w:line="360" w:lineRule="auto"/>
              <w:rPr>
                <w:sz w:val="18"/>
                <w:szCs w:val="18"/>
              </w:rPr>
            </w:pPr>
          </w:p>
        </w:tc>
        <w:tc>
          <w:tcPr>
            <w:tcW w:w="993" w:type="dxa"/>
            <w:vAlign w:val="center"/>
          </w:tcPr>
          <w:p w14:paraId="114EB4AD" w14:textId="0AEFD5BF" w:rsidR="00B204E3" w:rsidRDefault="008F6C98" w:rsidP="00B6627C">
            <w:pPr>
              <w:spacing w:line="360" w:lineRule="auto"/>
              <w:jc w:val="center"/>
              <w:rPr>
                <w:sz w:val="18"/>
                <w:szCs w:val="18"/>
              </w:rPr>
            </w:pPr>
            <w:r>
              <w:rPr>
                <w:sz w:val="18"/>
                <w:szCs w:val="18"/>
              </w:rPr>
              <w:t>28.5</w:t>
            </w:r>
          </w:p>
        </w:tc>
      </w:tr>
      <w:tr w:rsidR="00B204E3" w:rsidRPr="009C13BA" w14:paraId="5A81D1AE" w14:textId="426CBB4D" w:rsidTr="00B6627C">
        <w:trPr>
          <w:jc w:val="center"/>
        </w:trPr>
        <w:tc>
          <w:tcPr>
            <w:tcW w:w="5098" w:type="dxa"/>
          </w:tcPr>
          <w:p w14:paraId="61FE7978" w14:textId="5F3DEFC2" w:rsidR="00B204E3" w:rsidRPr="00FD3290" w:rsidRDefault="00B204E3" w:rsidP="009762A2">
            <w:pPr>
              <w:spacing w:line="360" w:lineRule="auto"/>
              <w:rPr>
                <w:i/>
                <w:iCs/>
                <w:sz w:val="18"/>
                <w:szCs w:val="18"/>
              </w:rPr>
            </w:pPr>
            <w:r w:rsidRPr="00FD3290">
              <w:rPr>
                <w:i/>
                <w:iCs/>
                <w:sz w:val="18"/>
                <w:szCs w:val="18"/>
              </w:rPr>
              <w:t>Employment status</w:t>
            </w:r>
          </w:p>
        </w:tc>
        <w:tc>
          <w:tcPr>
            <w:tcW w:w="993" w:type="dxa"/>
          </w:tcPr>
          <w:p w14:paraId="2153E32C" w14:textId="77777777" w:rsidR="00B204E3" w:rsidRPr="00C05ABF" w:rsidRDefault="00B204E3" w:rsidP="009762A2">
            <w:pPr>
              <w:spacing w:line="360" w:lineRule="auto"/>
              <w:rPr>
                <w:sz w:val="18"/>
                <w:szCs w:val="18"/>
              </w:rPr>
            </w:pPr>
          </w:p>
        </w:tc>
        <w:tc>
          <w:tcPr>
            <w:tcW w:w="993" w:type="dxa"/>
          </w:tcPr>
          <w:p w14:paraId="7A86CB67" w14:textId="55D9D882" w:rsidR="00B204E3" w:rsidRPr="00C05ABF" w:rsidRDefault="00B204E3" w:rsidP="009762A2">
            <w:pPr>
              <w:spacing w:line="360" w:lineRule="auto"/>
              <w:rPr>
                <w:sz w:val="18"/>
                <w:szCs w:val="18"/>
              </w:rPr>
            </w:pPr>
          </w:p>
        </w:tc>
        <w:tc>
          <w:tcPr>
            <w:tcW w:w="993" w:type="dxa"/>
            <w:vAlign w:val="center"/>
          </w:tcPr>
          <w:p w14:paraId="605A605F" w14:textId="77777777" w:rsidR="00B204E3" w:rsidRPr="00C05ABF" w:rsidRDefault="00B204E3" w:rsidP="00B6627C">
            <w:pPr>
              <w:spacing w:line="360" w:lineRule="auto"/>
              <w:jc w:val="center"/>
              <w:rPr>
                <w:sz w:val="18"/>
                <w:szCs w:val="18"/>
              </w:rPr>
            </w:pPr>
          </w:p>
        </w:tc>
      </w:tr>
      <w:tr w:rsidR="00B204E3" w:rsidRPr="009C13BA" w14:paraId="0DD09677" w14:textId="1F080E5E" w:rsidTr="00B6627C">
        <w:trPr>
          <w:jc w:val="center"/>
        </w:trPr>
        <w:tc>
          <w:tcPr>
            <w:tcW w:w="5098" w:type="dxa"/>
          </w:tcPr>
          <w:p w14:paraId="4155DA46" w14:textId="12D1F66F" w:rsidR="00B204E3" w:rsidRPr="00C05ABF" w:rsidRDefault="00B204E3" w:rsidP="009762A2">
            <w:pPr>
              <w:spacing w:line="360" w:lineRule="auto"/>
              <w:rPr>
                <w:sz w:val="18"/>
                <w:szCs w:val="18"/>
              </w:rPr>
            </w:pPr>
            <w:r w:rsidRPr="00C05ABF">
              <w:rPr>
                <w:sz w:val="18"/>
                <w:szCs w:val="18"/>
              </w:rPr>
              <w:t>Working</w:t>
            </w:r>
          </w:p>
        </w:tc>
        <w:tc>
          <w:tcPr>
            <w:tcW w:w="993" w:type="dxa"/>
          </w:tcPr>
          <w:p w14:paraId="6BD4AD74" w14:textId="75038076" w:rsidR="00B204E3" w:rsidRDefault="00B204E3" w:rsidP="009762A2">
            <w:pPr>
              <w:spacing w:line="360" w:lineRule="auto"/>
              <w:rPr>
                <w:sz w:val="18"/>
                <w:szCs w:val="18"/>
              </w:rPr>
            </w:pPr>
          </w:p>
        </w:tc>
        <w:tc>
          <w:tcPr>
            <w:tcW w:w="993" w:type="dxa"/>
          </w:tcPr>
          <w:p w14:paraId="15A39602" w14:textId="211D1D8D" w:rsidR="00B204E3" w:rsidRPr="00C05ABF" w:rsidRDefault="00B204E3" w:rsidP="009762A2">
            <w:pPr>
              <w:spacing w:line="360" w:lineRule="auto"/>
              <w:rPr>
                <w:sz w:val="18"/>
                <w:szCs w:val="18"/>
              </w:rPr>
            </w:pPr>
          </w:p>
        </w:tc>
        <w:tc>
          <w:tcPr>
            <w:tcW w:w="993" w:type="dxa"/>
            <w:vAlign w:val="center"/>
          </w:tcPr>
          <w:p w14:paraId="131BE060" w14:textId="58BCEFD0" w:rsidR="00B204E3" w:rsidRDefault="00CC57C8" w:rsidP="00B6627C">
            <w:pPr>
              <w:spacing w:line="360" w:lineRule="auto"/>
              <w:jc w:val="center"/>
              <w:rPr>
                <w:sz w:val="18"/>
                <w:szCs w:val="18"/>
              </w:rPr>
            </w:pPr>
            <w:r>
              <w:rPr>
                <w:sz w:val="18"/>
                <w:szCs w:val="18"/>
              </w:rPr>
              <w:t>55.5</w:t>
            </w:r>
          </w:p>
        </w:tc>
      </w:tr>
      <w:tr w:rsidR="00B204E3" w:rsidRPr="009C13BA" w14:paraId="30F41A3E" w14:textId="6E48BBC0" w:rsidTr="00B6627C">
        <w:trPr>
          <w:jc w:val="center"/>
        </w:trPr>
        <w:tc>
          <w:tcPr>
            <w:tcW w:w="5098" w:type="dxa"/>
          </w:tcPr>
          <w:p w14:paraId="1629146C" w14:textId="206B1FFD" w:rsidR="00B204E3" w:rsidRPr="00C05ABF" w:rsidRDefault="00B204E3" w:rsidP="009762A2">
            <w:pPr>
              <w:spacing w:line="360" w:lineRule="auto"/>
              <w:rPr>
                <w:sz w:val="18"/>
                <w:szCs w:val="18"/>
              </w:rPr>
            </w:pPr>
            <w:r w:rsidRPr="00C05ABF">
              <w:rPr>
                <w:sz w:val="18"/>
                <w:szCs w:val="18"/>
              </w:rPr>
              <w:t>Unemployed</w:t>
            </w:r>
          </w:p>
        </w:tc>
        <w:tc>
          <w:tcPr>
            <w:tcW w:w="993" w:type="dxa"/>
          </w:tcPr>
          <w:p w14:paraId="53ABF5CD" w14:textId="78D332D5" w:rsidR="00B204E3" w:rsidRDefault="00B204E3" w:rsidP="009762A2">
            <w:pPr>
              <w:spacing w:line="360" w:lineRule="auto"/>
              <w:rPr>
                <w:sz w:val="18"/>
                <w:szCs w:val="18"/>
              </w:rPr>
            </w:pPr>
          </w:p>
        </w:tc>
        <w:tc>
          <w:tcPr>
            <w:tcW w:w="993" w:type="dxa"/>
          </w:tcPr>
          <w:p w14:paraId="410127C2" w14:textId="226431B2" w:rsidR="00B204E3" w:rsidRPr="00C05ABF" w:rsidRDefault="00B204E3" w:rsidP="009762A2">
            <w:pPr>
              <w:spacing w:line="360" w:lineRule="auto"/>
              <w:rPr>
                <w:sz w:val="18"/>
                <w:szCs w:val="18"/>
              </w:rPr>
            </w:pPr>
          </w:p>
        </w:tc>
        <w:tc>
          <w:tcPr>
            <w:tcW w:w="993" w:type="dxa"/>
            <w:vAlign w:val="center"/>
          </w:tcPr>
          <w:p w14:paraId="7757AA02" w14:textId="44A40C5F" w:rsidR="00B204E3" w:rsidRDefault="00CC57C8" w:rsidP="00B6627C">
            <w:pPr>
              <w:spacing w:line="360" w:lineRule="auto"/>
              <w:jc w:val="center"/>
              <w:rPr>
                <w:sz w:val="18"/>
                <w:szCs w:val="18"/>
              </w:rPr>
            </w:pPr>
            <w:r>
              <w:rPr>
                <w:sz w:val="18"/>
                <w:szCs w:val="18"/>
              </w:rPr>
              <w:t>5.6</w:t>
            </w:r>
          </w:p>
        </w:tc>
      </w:tr>
      <w:tr w:rsidR="00B204E3" w:rsidRPr="009C13BA" w14:paraId="5414322E" w14:textId="5221F099" w:rsidTr="00B6627C">
        <w:trPr>
          <w:jc w:val="center"/>
        </w:trPr>
        <w:tc>
          <w:tcPr>
            <w:tcW w:w="5098" w:type="dxa"/>
          </w:tcPr>
          <w:p w14:paraId="1F9F8FFF" w14:textId="716B238E" w:rsidR="00B204E3" w:rsidRPr="00354AE7" w:rsidRDefault="00B204E3" w:rsidP="009762A2">
            <w:pPr>
              <w:spacing w:line="360" w:lineRule="auto"/>
              <w:rPr>
                <w:sz w:val="18"/>
                <w:szCs w:val="18"/>
              </w:rPr>
            </w:pPr>
            <w:r w:rsidRPr="00354AE7">
              <w:rPr>
                <w:sz w:val="18"/>
                <w:szCs w:val="18"/>
              </w:rPr>
              <w:t>Student</w:t>
            </w:r>
          </w:p>
        </w:tc>
        <w:tc>
          <w:tcPr>
            <w:tcW w:w="993" w:type="dxa"/>
          </w:tcPr>
          <w:p w14:paraId="43E2714E" w14:textId="3ABA01FB" w:rsidR="00B204E3" w:rsidRPr="00354AE7" w:rsidRDefault="00B204E3" w:rsidP="009762A2">
            <w:pPr>
              <w:spacing w:line="360" w:lineRule="auto"/>
              <w:rPr>
                <w:sz w:val="18"/>
                <w:szCs w:val="18"/>
              </w:rPr>
            </w:pPr>
          </w:p>
        </w:tc>
        <w:tc>
          <w:tcPr>
            <w:tcW w:w="993" w:type="dxa"/>
          </w:tcPr>
          <w:p w14:paraId="4763EA73" w14:textId="595205EC" w:rsidR="00B204E3" w:rsidRPr="00C05ABF" w:rsidRDefault="00B204E3" w:rsidP="009762A2">
            <w:pPr>
              <w:spacing w:line="360" w:lineRule="auto"/>
              <w:rPr>
                <w:sz w:val="18"/>
                <w:szCs w:val="18"/>
              </w:rPr>
            </w:pPr>
          </w:p>
        </w:tc>
        <w:tc>
          <w:tcPr>
            <w:tcW w:w="993" w:type="dxa"/>
            <w:vAlign w:val="center"/>
          </w:tcPr>
          <w:p w14:paraId="7B17FBFD" w14:textId="41FACE82" w:rsidR="00B204E3" w:rsidRDefault="00CC57C8" w:rsidP="00B6627C">
            <w:pPr>
              <w:spacing w:line="360" w:lineRule="auto"/>
              <w:jc w:val="center"/>
              <w:rPr>
                <w:sz w:val="18"/>
                <w:szCs w:val="18"/>
              </w:rPr>
            </w:pPr>
            <w:r>
              <w:rPr>
                <w:sz w:val="18"/>
                <w:szCs w:val="18"/>
              </w:rPr>
              <w:t>5.6</w:t>
            </w:r>
          </w:p>
        </w:tc>
      </w:tr>
      <w:tr w:rsidR="00B204E3" w:rsidRPr="009C13BA" w14:paraId="2A2ECCF2" w14:textId="3E276CF3" w:rsidTr="00B6627C">
        <w:trPr>
          <w:jc w:val="center"/>
        </w:trPr>
        <w:tc>
          <w:tcPr>
            <w:tcW w:w="5098" w:type="dxa"/>
          </w:tcPr>
          <w:p w14:paraId="3A2933E0" w14:textId="4954D228" w:rsidR="00B204E3" w:rsidRPr="00354AE7" w:rsidRDefault="00B204E3" w:rsidP="009762A2">
            <w:pPr>
              <w:spacing w:line="360" w:lineRule="auto"/>
              <w:rPr>
                <w:sz w:val="18"/>
                <w:szCs w:val="18"/>
              </w:rPr>
            </w:pPr>
            <w:r w:rsidRPr="00354AE7">
              <w:rPr>
                <w:sz w:val="18"/>
                <w:szCs w:val="18"/>
              </w:rPr>
              <w:t>Retired</w:t>
            </w:r>
          </w:p>
        </w:tc>
        <w:tc>
          <w:tcPr>
            <w:tcW w:w="993" w:type="dxa"/>
          </w:tcPr>
          <w:p w14:paraId="5D6849BF" w14:textId="26B268EA" w:rsidR="00B204E3" w:rsidRPr="00354AE7" w:rsidRDefault="00B204E3" w:rsidP="009762A2">
            <w:pPr>
              <w:spacing w:line="360" w:lineRule="auto"/>
              <w:rPr>
                <w:sz w:val="18"/>
                <w:szCs w:val="18"/>
              </w:rPr>
            </w:pPr>
          </w:p>
        </w:tc>
        <w:tc>
          <w:tcPr>
            <w:tcW w:w="993" w:type="dxa"/>
          </w:tcPr>
          <w:p w14:paraId="59B7E8B2" w14:textId="0CEACC75" w:rsidR="00B204E3" w:rsidRPr="00C05ABF" w:rsidRDefault="00B204E3" w:rsidP="009762A2">
            <w:pPr>
              <w:spacing w:line="360" w:lineRule="auto"/>
              <w:rPr>
                <w:sz w:val="18"/>
                <w:szCs w:val="18"/>
              </w:rPr>
            </w:pPr>
          </w:p>
        </w:tc>
        <w:tc>
          <w:tcPr>
            <w:tcW w:w="993" w:type="dxa"/>
            <w:vAlign w:val="center"/>
          </w:tcPr>
          <w:p w14:paraId="098B7D46" w14:textId="0A932A6C" w:rsidR="00B204E3" w:rsidRDefault="00CC57C8" w:rsidP="00B6627C">
            <w:pPr>
              <w:spacing w:line="360" w:lineRule="auto"/>
              <w:jc w:val="center"/>
              <w:rPr>
                <w:sz w:val="18"/>
                <w:szCs w:val="18"/>
              </w:rPr>
            </w:pPr>
            <w:r>
              <w:rPr>
                <w:sz w:val="18"/>
                <w:szCs w:val="18"/>
              </w:rPr>
              <w:t>11.5</w:t>
            </w:r>
          </w:p>
        </w:tc>
      </w:tr>
      <w:tr w:rsidR="00B204E3" w:rsidRPr="009C13BA" w14:paraId="0576AC69" w14:textId="0564447C" w:rsidTr="00B6627C">
        <w:trPr>
          <w:jc w:val="center"/>
        </w:trPr>
        <w:tc>
          <w:tcPr>
            <w:tcW w:w="5098" w:type="dxa"/>
          </w:tcPr>
          <w:p w14:paraId="60792512" w14:textId="7C2FB833" w:rsidR="00B204E3" w:rsidRPr="00354AE7" w:rsidRDefault="00B204E3" w:rsidP="009762A2">
            <w:pPr>
              <w:spacing w:line="360" w:lineRule="auto"/>
              <w:rPr>
                <w:sz w:val="18"/>
                <w:szCs w:val="18"/>
              </w:rPr>
            </w:pPr>
            <w:r w:rsidRPr="00354AE7">
              <w:rPr>
                <w:sz w:val="18"/>
                <w:szCs w:val="18"/>
              </w:rPr>
              <w:t>Looking after the home/other</w:t>
            </w:r>
          </w:p>
        </w:tc>
        <w:tc>
          <w:tcPr>
            <w:tcW w:w="993" w:type="dxa"/>
          </w:tcPr>
          <w:p w14:paraId="08319F41" w14:textId="483E6B3D" w:rsidR="00B204E3" w:rsidRPr="00354AE7" w:rsidRDefault="00B204E3" w:rsidP="009762A2">
            <w:pPr>
              <w:spacing w:line="360" w:lineRule="auto"/>
              <w:rPr>
                <w:sz w:val="18"/>
                <w:szCs w:val="18"/>
              </w:rPr>
            </w:pPr>
          </w:p>
        </w:tc>
        <w:tc>
          <w:tcPr>
            <w:tcW w:w="993" w:type="dxa"/>
          </w:tcPr>
          <w:p w14:paraId="2290167B" w14:textId="256FACA1" w:rsidR="00B204E3" w:rsidRPr="00C05ABF" w:rsidRDefault="00B204E3" w:rsidP="009762A2">
            <w:pPr>
              <w:spacing w:line="360" w:lineRule="auto"/>
              <w:rPr>
                <w:sz w:val="18"/>
                <w:szCs w:val="18"/>
              </w:rPr>
            </w:pPr>
          </w:p>
        </w:tc>
        <w:tc>
          <w:tcPr>
            <w:tcW w:w="993" w:type="dxa"/>
            <w:vAlign w:val="center"/>
          </w:tcPr>
          <w:p w14:paraId="72A4012A" w14:textId="592B2253" w:rsidR="00B204E3" w:rsidRDefault="00CC57C8" w:rsidP="00B6627C">
            <w:pPr>
              <w:spacing w:line="360" w:lineRule="auto"/>
              <w:jc w:val="center"/>
              <w:rPr>
                <w:sz w:val="18"/>
                <w:szCs w:val="18"/>
              </w:rPr>
            </w:pPr>
            <w:r>
              <w:rPr>
                <w:sz w:val="18"/>
                <w:szCs w:val="18"/>
              </w:rPr>
              <w:t>21.9</w:t>
            </w:r>
          </w:p>
        </w:tc>
      </w:tr>
      <w:tr w:rsidR="00B204E3" w:rsidRPr="009C13BA" w14:paraId="094E0A77" w14:textId="679746C9" w:rsidTr="00B6627C">
        <w:trPr>
          <w:jc w:val="center"/>
        </w:trPr>
        <w:tc>
          <w:tcPr>
            <w:tcW w:w="5098" w:type="dxa"/>
          </w:tcPr>
          <w:p w14:paraId="34C0EA6C" w14:textId="72B410A8" w:rsidR="00B204E3" w:rsidRPr="00FD3290" w:rsidRDefault="00B204E3" w:rsidP="009762A2">
            <w:pPr>
              <w:spacing w:line="360" w:lineRule="auto"/>
              <w:rPr>
                <w:i/>
                <w:iCs/>
                <w:sz w:val="18"/>
                <w:szCs w:val="18"/>
              </w:rPr>
            </w:pPr>
            <w:r w:rsidRPr="00FD3290">
              <w:rPr>
                <w:i/>
                <w:iCs/>
                <w:sz w:val="18"/>
                <w:szCs w:val="18"/>
              </w:rPr>
              <w:t>Region</w:t>
            </w:r>
          </w:p>
        </w:tc>
        <w:tc>
          <w:tcPr>
            <w:tcW w:w="993" w:type="dxa"/>
          </w:tcPr>
          <w:p w14:paraId="54EEB128" w14:textId="77777777" w:rsidR="00B204E3" w:rsidRPr="00C05ABF" w:rsidRDefault="00B204E3" w:rsidP="009762A2">
            <w:pPr>
              <w:spacing w:line="360" w:lineRule="auto"/>
              <w:rPr>
                <w:sz w:val="18"/>
                <w:szCs w:val="18"/>
              </w:rPr>
            </w:pPr>
          </w:p>
        </w:tc>
        <w:tc>
          <w:tcPr>
            <w:tcW w:w="993" w:type="dxa"/>
          </w:tcPr>
          <w:p w14:paraId="67EE0680" w14:textId="6B2065CF" w:rsidR="00B204E3" w:rsidRPr="00C05ABF" w:rsidRDefault="00B204E3" w:rsidP="009762A2">
            <w:pPr>
              <w:spacing w:line="360" w:lineRule="auto"/>
              <w:rPr>
                <w:sz w:val="18"/>
                <w:szCs w:val="18"/>
              </w:rPr>
            </w:pPr>
          </w:p>
        </w:tc>
        <w:tc>
          <w:tcPr>
            <w:tcW w:w="993" w:type="dxa"/>
            <w:vAlign w:val="center"/>
          </w:tcPr>
          <w:p w14:paraId="31838AFA" w14:textId="77777777" w:rsidR="00B204E3" w:rsidRPr="00C05ABF" w:rsidRDefault="00B204E3" w:rsidP="00B6627C">
            <w:pPr>
              <w:spacing w:line="360" w:lineRule="auto"/>
              <w:jc w:val="center"/>
              <w:rPr>
                <w:sz w:val="18"/>
                <w:szCs w:val="18"/>
              </w:rPr>
            </w:pPr>
          </w:p>
        </w:tc>
      </w:tr>
      <w:tr w:rsidR="00B204E3" w:rsidRPr="009C13BA" w14:paraId="4BFEC3AE" w14:textId="431D1FA1" w:rsidTr="00B6627C">
        <w:trPr>
          <w:jc w:val="center"/>
        </w:trPr>
        <w:tc>
          <w:tcPr>
            <w:tcW w:w="5098" w:type="dxa"/>
          </w:tcPr>
          <w:p w14:paraId="11F42E9B" w14:textId="23B90EF5" w:rsidR="00B204E3" w:rsidRPr="00C05ABF" w:rsidRDefault="00B204E3" w:rsidP="009762A2">
            <w:pPr>
              <w:spacing w:line="360" w:lineRule="auto"/>
              <w:rPr>
                <w:sz w:val="18"/>
                <w:szCs w:val="18"/>
              </w:rPr>
            </w:pPr>
            <w:r w:rsidRPr="00C05ABF">
              <w:rPr>
                <w:sz w:val="18"/>
                <w:szCs w:val="18"/>
              </w:rPr>
              <w:t>Dublin</w:t>
            </w:r>
          </w:p>
        </w:tc>
        <w:tc>
          <w:tcPr>
            <w:tcW w:w="993" w:type="dxa"/>
          </w:tcPr>
          <w:p w14:paraId="5E4C1629" w14:textId="58324102" w:rsidR="00B204E3" w:rsidRDefault="00B204E3" w:rsidP="009762A2">
            <w:pPr>
              <w:spacing w:line="360" w:lineRule="auto"/>
              <w:rPr>
                <w:sz w:val="18"/>
                <w:szCs w:val="18"/>
              </w:rPr>
            </w:pPr>
          </w:p>
        </w:tc>
        <w:tc>
          <w:tcPr>
            <w:tcW w:w="993" w:type="dxa"/>
          </w:tcPr>
          <w:p w14:paraId="5FACACB3" w14:textId="1DA4D955" w:rsidR="00B204E3" w:rsidRPr="00C05ABF" w:rsidRDefault="00B204E3" w:rsidP="009762A2">
            <w:pPr>
              <w:spacing w:line="360" w:lineRule="auto"/>
              <w:rPr>
                <w:sz w:val="18"/>
                <w:szCs w:val="18"/>
              </w:rPr>
            </w:pPr>
          </w:p>
        </w:tc>
        <w:tc>
          <w:tcPr>
            <w:tcW w:w="993" w:type="dxa"/>
            <w:vAlign w:val="center"/>
          </w:tcPr>
          <w:p w14:paraId="4F534C2A" w14:textId="2A0DACEF" w:rsidR="00B204E3" w:rsidRDefault="0092709E" w:rsidP="00B6627C">
            <w:pPr>
              <w:spacing w:line="360" w:lineRule="auto"/>
              <w:jc w:val="center"/>
              <w:rPr>
                <w:sz w:val="18"/>
                <w:szCs w:val="18"/>
              </w:rPr>
            </w:pPr>
            <w:r>
              <w:rPr>
                <w:sz w:val="18"/>
                <w:szCs w:val="18"/>
              </w:rPr>
              <w:t>28.6</w:t>
            </w:r>
          </w:p>
        </w:tc>
      </w:tr>
      <w:tr w:rsidR="00B204E3" w:rsidRPr="009C13BA" w14:paraId="42D4A954" w14:textId="73F91663" w:rsidTr="00B6627C">
        <w:trPr>
          <w:jc w:val="center"/>
        </w:trPr>
        <w:tc>
          <w:tcPr>
            <w:tcW w:w="5098" w:type="dxa"/>
          </w:tcPr>
          <w:p w14:paraId="07A5BEA9" w14:textId="7D959237" w:rsidR="00B204E3" w:rsidRPr="00C05ABF" w:rsidRDefault="00B204E3" w:rsidP="009762A2">
            <w:pPr>
              <w:spacing w:line="360" w:lineRule="auto"/>
              <w:rPr>
                <w:sz w:val="18"/>
                <w:szCs w:val="18"/>
              </w:rPr>
            </w:pPr>
            <w:r w:rsidRPr="00C05ABF">
              <w:rPr>
                <w:sz w:val="18"/>
                <w:szCs w:val="18"/>
              </w:rPr>
              <w:t>Rest of Leinster</w:t>
            </w:r>
          </w:p>
        </w:tc>
        <w:tc>
          <w:tcPr>
            <w:tcW w:w="993" w:type="dxa"/>
          </w:tcPr>
          <w:p w14:paraId="468A3A47" w14:textId="3C7232AA" w:rsidR="00B204E3" w:rsidRDefault="00B204E3" w:rsidP="009762A2">
            <w:pPr>
              <w:spacing w:line="360" w:lineRule="auto"/>
              <w:rPr>
                <w:sz w:val="18"/>
                <w:szCs w:val="18"/>
              </w:rPr>
            </w:pPr>
          </w:p>
        </w:tc>
        <w:tc>
          <w:tcPr>
            <w:tcW w:w="993" w:type="dxa"/>
          </w:tcPr>
          <w:p w14:paraId="7C9001B4" w14:textId="1AF4CD3C" w:rsidR="00B204E3" w:rsidRPr="00C05ABF" w:rsidRDefault="00B204E3" w:rsidP="009762A2">
            <w:pPr>
              <w:spacing w:line="360" w:lineRule="auto"/>
              <w:rPr>
                <w:sz w:val="18"/>
                <w:szCs w:val="18"/>
              </w:rPr>
            </w:pPr>
          </w:p>
        </w:tc>
        <w:tc>
          <w:tcPr>
            <w:tcW w:w="993" w:type="dxa"/>
            <w:vAlign w:val="center"/>
          </w:tcPr>
          <w:p w14:paraId="35DCBF57" w14:textId="14990183" w:rsidR="00B204E3" w:rsidRDefault="0092709E" w:rsidP="00B6627C">
            <w:pPr>
              <w:spacing w:line="360" w:lineRule="auto"/>
              <w:jc w:val="center"/>
              <w:rPr>
                <w:sz w:val="18"/>
                <w:szCs w:val="18"/>
              </w:rPr>
            </w:pPr>
            <w:r>
              <w:rPr>
                <w:sz w:val="18"/>
                <w:szCs w:val="18"/>
              </w:rPr>
              <w:t>27.0</w:t>
            </w:r>
          </w:p>
        </w:tc>
      </w:tr>
      <w:tr w:rsidR="00B204E3" w:rsidRPr="009C13BA" w14:paraId="27C45A40" w14:textId="261749F7" w:rsidTr="00B6627C">
        <w:trPr>
          <w:jc w:val="center"/>
        </w:trPr>
        <w:tc>
          <w:tcPr>
            <w:tcW w:w="5098" w:type="dxa"/>
          </w:tcPr>
          <w:p w14:paraId="7370E59C" w14:textId="6DE8A12B" w:rsidR="00B204E3" w:rsidRPr="00C05ABF" w:rsidRDefault="00B204E3" w:rsidP="009762A2">
            <w:pPr>
              <w:spacing w:line="360" w:lineRule="auto"/>
              <w:rPr>
                <w:sz w:val="18"/>
                <w:szCs w:val="18"/>
              </w:rPr>
            </w:pPr>
            <w:r w:rsidRPr="00C05ABF">
              <w:rPr>
                <w:sz w:val="18"/>
                <w:szCs w:val="18"/>
              </w:rPr>
              <w:t>Munster</w:t>
            </w:r>
          </w:p>
        </w:tc>
        <w:tc>
          <w:tcPr>
            <w:tcW w:w="993" w:type="dxa"/>
          </w:tcPr>
          <w:p w14:paraId="420CE923" w14:textId="3BB5BF97" w:rsidR="00B204E3" w:rsidRDefault="00B204E3" w:rsidP="009762A2">
            <w:pPr>
              <w:spacing w:line="360" w:lineRule="auto"/>
              <w:rPr>
                <w:sz w:val="18"/>
                <w:szCs w:val="18"/>
              </w:rPr>
            </w:pPr>
          </w:p>
        </w:tc>
        <w:tc>
          <w:tcPr>
            <w:tcW w:w="993" w:type="dxa"/>
          </w:tcPr>
          <w:p w14:paraId="4D2599AB" w14:textId="040E829F" w:rsidR="00B204E3" w:rsidRPr="00C05ABF" w:rsidRDefault="00B204E3" w:rsidP="009762A2">
            <w:pPr>
              <w:spacing w:line="360" w:lineRule="auto"/>
              <w:rPr>
                <w:sz w:val="18"/>
                <w:szCs w:val="18"/>
              </w:rPr>
            </w:pPr>
          </w:p>
        </w:tc>
        <w:tc>
          <w:tcPr>
            <w:tcW w:w="993" w:type="dxa"/>
            <w:vAlign w:val="center"/>
          </w:tcPr>
          <w:p w14:paraId="667D426C" w14:textId="0760E4E3" w:rsidR="00B204E3" w:rsidRDefault="0092709E" w:rsidP="00B6627C">
            <w:pPr>
              <w:spacing w:line="360" w:lineRule="auto"/>
              <w:jc w:val="center"/>
              <w:rPr>
                <w:sz w:val="18"/>
                <w:szCs w:val="18"/>
              </w:rPr>
            </w:pPr>
            <w:r>
              <w:rPr>
                <w:sz w:val="18"/>
                <w:szCs w:val="18"/>
              </w:rPr>
              <w:t>26.9</w:t>
            </w:r>
          </w:p>
        </w:tc>
      </w:tr>
      <w:tr w:rsidR="00B204E3" w:rsidRPr="009C13BA" w14:paraId="783BB4D3" w14:textId="5B15D177" w:rsidTr="00B6627C">
        <w:trPr>
          <w:jc w:val="center"/>
        </w:trPr>
        <w:tc>
          <w:tcPr>
            <w:tcW w:w="5098" w:type="dxa"/>
          </w:tcPr>
          <w:p w14:paraId="0F7C44F1" w14:textId="734B55E8" w:rsidR="00B204E3" w:rsidRPr="00C05ABF" w:rsidRDefault="00B204E3" w:rsidP="009762A2">
            <w:pPr>
              <w:spacing w:line="360" w:lineRule="auto"/>
              <w:rPr>
                <w:sz w:val="18"/>
                <w:szCs w:val="18"/>
              </w:rPr>
            </w:pPr>
            <w:r w:rsidRPr="00C05ABF">
              <w:rPr>
                <w:sz w:val="18"/>
                <w:szCs w:val="18"/>
              </w:rPr>
              <w:t>Connaught/Ulster</w:t>
            </w:r>
          </w:p>
        </w:tc>
        <w:tc>
          <w:tcPr>
            <w:tcW w:w="993" w:type="dxa"/>
          </w:tcPr>
          <w:p w14:paraId="327B9000" w14:textId="4AA9352C" w:rsidR="00B204E3" w:rsidRDefault="00B204E3" w:rsidP="009762A2">
            <w:pPr>
              <w:spacing w:line="360" w:lineRule="auto"/>
              <w:rPr>
                <w:sz w:val="18"/>
                <w:szCs w:val="18"/>
              </w:rPr>
            </w:pPr>
          </w:p>
        </w:tc>
        <w:tc>
          <w:tcPr>
            <w:tcW w:w="993" w:type="dxa"/>
          </w:tcPr>
          <w:p w14:paraId="2D6D8A33" w14:textId="4683D5AD" w:rsidR="00B204E3" w:rsidRPr="00C05ABF" w:rsidRDefault="00B204E3" w:rsidP="009762A2">
            <w:pPr>
              <w:spacing w:line="360" w:lineRule="auto"/>
              <w:rPr>
                <w:sz w:val="18"/>
                <w:szCs w:val="18"/>
              </w:rPr>
            </w:pPr>
          </w:p>
        </w:tc>
        <w:tc>
          <w:tcPr>
            <w:tcW w:w="993" w:type="dxa"/>
            <w:vAlign w:val="center"/>
          </w:tcPr>
          <w:p w14:paraId="6F119CAB" w14:textId="2B0115F7" w:rsidR="00B204E3" w:rsidRDefault="0092709E" w:rsidP="00B6627C">
            <w:pPr>
              <w:spacing w:line="360" w:lineRule="auto"/>
              <w:jc w:val="center"/>
              <w:rPr>
                <w:sz w:val="18"/>
                <w:szCs w:val="18"/>
              </w:rPr>
            </w:pPr>
            <w:r>
              <w:rPr>
                <w:sz w:val="18"/>
                <w:szCs w:val="18"/>
              </w:rPr>
              <w:t>17.6</w:t>
            </w:r>
          </w:p>
        </w:tc>
      </w:tr>
      <w:tr w:rsidR="00B204E3" w:rsidRPr="009C13BA" w14:paraId="690EE763" w14:textId="58B19950" w:rsidTr="00B6627C">
        <w:trPr>
          <w:jc w:val="center"/>
        </w:trPr>
        <w:tc>
          <w:tcPr>
            <w:tcW w:w="5098" w:type="dxa"/>
          </w:tcPr>
          <w:p w14:paraId="303DD469" w14:textId="464D79A1" w:rsidR="00B204E3" w:rsidRPr="00FD3290" w:rsidRDefault="00B204E3" w:rsidP="009762A2">
            <w:pPr>
              <w:spacing w:line="360" w:lineRule="auto"/>
              <w:rPr>
                <w:i/>
                <w:iCs/>
                <w:sz w:val="18"/>
                <w:szCs w:val="18"/>
              </w:rPr>
            </w:pPr>
            <w:r>
              <w:rPr>
                <w:i/>
                <w:iCs/>
                <w:sz w:val="18"/>
                <w:szCs w:val="18"/>
              </w:rPr>
              <w:t>Highest e</w:t>
            </w:r>
            <w:r w:rsidRPr="00FD3290">
              <w:rPr>
                <w:i/>
                <w:iCs/>
                <w:sz w:val="18"/>
                <w:szCs w:val="18"/>
              </w:rPr>
              <w:t>ducational achievement</w:t>
            </w:r>
          </w:p>
        </w:tc>
        <w:tc>
          <w:tcPr>
            <w:tcW w:w="993" w:type="dxa"/>
          </w:tcPr>
          <w:p w14:paraId="27BBEFC0" w14:textId="77777777" w:rsidR="00B204E3" w:rsidRPr="00C05ABF" w:rsidRDefault="00B204E3" w:rsidP="009762A2">
            <w:pPr>
              <w:spacing w:line="360" w:lineRule="auto"/>
              <w:rPr>
                <w:sz w:val="18"/>
                <w:szCs w:val="18"/>
              </w:rPr>
            </w:pPr>
          </w:p>
        </w:tc>
        <w:tc>
          <w:tcPr>
            <w:tcW w:w="993" w:type="dxa"/>
          </w:tcPr>
          <w:p w14:paraId="4F0A7D6F" w14:textId="41EC77C7" w:rsidR="00B204E3" w:rsidRPr="00C05ABF" w:rsidRDefault="00B204E3" w:rsidP="009762A2">
            <w:pPr>
              <w:spacing w:line="360" w:lineRule="auto"/>
              <w:rPr>
                <w:sz w:val="18"/>
                <w:szCs w:val="18"/>
              </w:rPr>
            </w:pPr>
          </w:p>
        </w:tc>
        <w:tc>
          <w:tcPr>
            <w:tcW w:w="993" w:type="dxa"/>
            <w:vAlign w:val="center"/>
          </w:tcPr>
          <w:p w14:paraId="30538621" w14:textId="77777777" w:rsidR="00B204E3" w:rsidRPr="00C05ABF" w:rsidRDefault="00B204E3" w:rsidP="00B6627C">
            <w:pPr>
              <w:spacing w:line="360" w:lineRule="auto"/>
              <w:jc w:val="center"/>
              <w:rPr>
                <w:sz w:val="18"/>
                <w:szCs w:val="18"/>
              </w:rPr>
            </w:pPr>
          </w:p>
        </w:tc>
      </w:tr>
      <w:tr w:rsidR="00B204E3" w:rsidRPr="009C13BA" w14:paraId="230896D3" w14:textId="39D57615" w:rsidTr="00B6627C">
        <w:trPr>
          <w:jc w:val="center"/>
        </w:trPr>
        <w:tc>
          <w:tcPr>
            <w:tcW w:w="5098" w:type="dxa"/>
          </w:tcPr>
          <w:p w14:paraId="7BCFC044" w14:textId="3BCEBA92" w:rsidR="00B204E3" w:rsidRPr="00C05ABF" w:rsidRDefault="00B204E3" w:rsidP="009762A2">
            <w:pPr>
              <w:spacing w:line="360" w:lineRule="auto"/>
              <w:rPr>
                <w:sz w:val="18"/>
                <w:szCs w:val="18"/>
              </w:rPr>
            </w:pPr>
            <w:r w:rsidRPr="00C05ABF">
              <w:rPr>
                <w:sz w:val="18"/>
                <w:szCs w:val="18"/>
              </w:rPr>
              <w:t xml:space="preserve">Less than Leaving Certificate </w:t>
            </w:r>
          </w:p>
        </w:tc>
        <w:tc>
          <w:tcPr>
            <w:tcW w:w="993" w:type="dxa"/>
          </w:tcPr>
          <w:p w14:paraId="4A3B6EE4" w14:textId="6CC41A61" w:rsidR="00B204E3" w:rsidRDefault="00B204E3" w:rsidP="009762A2">
            <w:pPr>
              <w:spacing w:line="360" w:lineRule="auto"/>
              <w:rPr>
                <w:sz w:val="18"/>
                <w:szCs w:val="18"/>
              </w:rPr>
            </w:pPr>
          </w:p>
        </w:tc>
        <w:tc>
          <w:tcPr>
            <w:tcW w:w="993" w:type="dxa"/>
          </w:tcPr>
          <w:p w14:paraId="6C0FE1D8" w14:textId="5869C554" w:rsidR="00B204E3" w:rsidRPr="00C05ABF" w:rsidRDefault="00B204E3" w:rsidP="009762A2">
            <w:pPr>
              <w:spacing w:line="360" w:lineRule="auto"/>
              <w:rPr>
                <w:sz w:val="18"/>
                <w:szCs w:val="18"/>
              </w:rPr>
            </w:pPr>
          </w:p>
        </w:tc>
        <w:tc>
          <w:tcPr>
            <w:tcW w:w="993" w:type="dxa"/>
            <w:vAlign w:val="center"/>
          </w:tcPr>
          <w:p w14:paraId="4D1FCA70" w14:textId="3D9D3522" w:rsidR="00B204E3" w:rsidRDefault="00BC6682" w:rsidP="00B6627C">
            <w:pPr>
              <w:spacing w:line="360" w:lineRule="auto"/>
              <w:jc w:val="center"/>
              <w:rPr>
                <w:sz w:val="18"/>
                <w:szCs w:val="18"/>
              </w:rPr>
            </w:pPr>
            <w:r>
              <w:rPr>
                <w:sz w:val="18"/>
                <w:szCs w:val="18"/>
              </w:rPr>
              <w:t>28.6</w:t>
            </w:r>
          </w:p>
        </w:tc>
      </w:tr>
      <w:tr w:rsidR="00B204E3" w:rsidRPr="009C13BA" w14:paraId="29C88D0A" w14:textId="2102BB72" w:rsidTr="00B6627C">
        <w:trPr>
          <w:jc w:val="center"/>
        </w:trPr>
        <w:tc>
          <w:tcPr>
            <w:tcW w:w="5098" w:type="dxa"/>
          </w:tcPr>
          <w:p w14:paraId="1B8EEB08" w14:textId="7C07DE29" w:rsidR="00B204E3" w:rsidRPr="00C05ABF" w:rsidRDefault="00B204E3" w:rsidP="009762A2">
            <w:pPr>
              <w:spacing w:line="360" w:lineRule="auto"/>
              <w:rPr>
                <w:sz w:val="18"/>
                <w:szCs w:val="18"/>
              </w:rPr>
            </w:pPr>
            <w:r w:rsidRPr="00C05ABF">
              <w:rPr>
                <w:sz w:val="18"/>
                <w:szCs w:val="18"/>
              </w:rPr>
              <w:t>Leaving Certificate</w:t>
            </w:r>
          </w:p>
        </w:tc>
        <w:tc>
          <w:tcPr>
            <w:tcW w:w="993" w:type="dxa"/>
          </w:tcPr>
          <w:p w14:paraId="6761ABF6" w14:textId="1A7CF3CF" w:rsidR="00B204E3" w:rsidRDefault="00B204E3" w:rsidP="009762A2">
            <w:pPr>
              <w:spacing w:line="360" w:lineRule="auto"/>
              <w:rPr>
                <w:sz w:val="18"/>
                <w:szCs w:val="18"/>
              </w:rPr>
            </w:pPr>
          </w:p>
        </w:tc>
        <w:tc>
          <w:tcPr>
            <w:tcW w:w="993" w:type="dxa"/>
          </w:tcPr>
          <w:p w14:paraId="54DB453B" w14:textId="3A34E689" w:rsidR="00B204E3" w:rsidRPr="00C05ABF" w:rsidRDefault="00B204E3" w:rsidP="009762A2">
            <w:pPr>
              <w:spacing w:line="360" w:lineRule="auto"/>
              <w:rPr>
                <w:sz w:val="18"/>
                <w:szCs w:val="18"/>
              </w:rPr>
            </w:pPr>
          </w:p>
        </w:tc>
        <w:tc>
          <w:tcPr>
            <w:tcW w:w="993" w:type="dxa"/>
            <w:vAlign w:val="center"/>
          </w:tcPr>
          <w:p w14:paraId="00DDB5F2" w14:textId="606901EF" w:rsidR="00B204E3" w:rsidRDefault="00BC6682" w:rsidP="00B6627C">
            <w:pPr>
              <w:spacing w:line="360" w:lineRule="auto"/>
              <w:jc w:val="center"/>
              <w:rPr>
                <w:sz w:val="18"/>
                <w:szCs w:val="18"/>
              </w:rPr>
            </w:pPr>
            <w:r>
              <w:rPr>
                <w:sz w:val="18"/>
                <w:szCs w:val="18"/>
              </w:rPr>
              <w:t>40.3</w:t>
            </w:r>
          </w:p>
        </w:tc>
      </w:tr>
      <w:tr w:rsidR="00B204E3" w:rsidRPr="009C13BA" w14:paraId="4EA93EB6" w14:textId="7D57D93E" w:rsidTr="00B6627C">
        <w:trPr>
          <w:jc w:val="center"/>
        </w:trPr>
        <w:tc>
          <w:tcPr>
            <w:tcW w:w="5098" w:type="dxa"/>
          </w:tcPr>
          <w:p w14:paraId="0DD78630" w14:textId="1DDF4309" w:rsidR="00B204E3" w:rsidRPr="00C05ABF" w:rsidRDefault="00B204E3" w:rsidP="009762A2">
            <w:pPr>
              <w:spacing w:line="360" w:lineRule="auto"/>
              <w:rPr>
                <w:sz w:val="18"/>
                <w:szCs w:val="18"/>
              </w:rPr>
            </w:pPr>
            <w:r w:rsidRPr="00C05ABF">
              <w:rPr>
                <w:sz w:val="18"/>
                <w:szCs w:val="18"/>
              </w:rPr>
              <w:t>Degree (graduate/postgraduate)</w:t>
            </w:r>
          </w:p>
        </w:tc>
        <w:tc>
          <w:tcPr>
            <w:tcW w:w="993" w:type="dxa"/>
          </w:tcPr>
          <w:p w14:paraId="1E01475B" w14:textId="4F9E043C" w:rsidR="00B204E3" w:rsidRDefault="00B204E3" w:rsidP="009762A2">
            <w:pPr>
              <w:spacing w:line="360" w:lineRule="auto"/>
              <w:rPr>
                <w:sz w:val="18"/>
                <w:szCs w:val="18"/>
              </w:rPr>
            </w:pPr>
          </w:p>
        </w:tc>
        <w:tc>
          <w:tcPr>
            <w:tcW w:w="993" w:type="dxa"/>
          </w:tcPr>
          <w:p w14:paraId="204392D7" w14:textId="46A1FE1A" w:rsidR="00B204E3" w:rsidRPr="00C05ABF" w:rsidRDefault="00B204E3" w:rsidP="009762A2">
            <w:pPr>
              <w:spacing w:line="360" w:lineRule="auto"/>
              <w:rPr>
                <w:sz w:val="18"/>
                <w:szCs w:val="18"/>
              </w:rPr>
            </w:pPr>
          </w:p>
        </w:tc>
        <w:tc>
          <w:tcPr>
            <w:tcW w:w="993" w:type="dxa"/>
            <w:vAlign w:val="center"/>
          </w:tcPr>
          <w:p w14:paraId="2E361876" w14:textId="06BF180B" w:rsidR="00B204E3" w:rsidRDefault="00BC6682" w:rsidP="00B6627C">
            <w:pPr>
              <w:spacing w:line="360" w:lineRule="auto"/>
              <w:jc w:val="center"/>
              <w:rPr>
                <w:sz w:val="18"/>
                <w:szCs w:val="18"/>
              </w:rPr>
            </w:pPr>
            <w:r>
              <w:rPr>
                <w:sz w:val="18"/>
                <w:szCs w:val="18"/>
              </w:rPr>
              <w:t>31.1</w:t>
            </w:r>
          </w:p>
        </w:tc>
      </w:tr>
      <w:tr w:rsidR="00B204E3" w:rsidRPr="009C13BA" w14:paraId="0A47C0F2" w14:textId="00F59A80" w:rsidTr="00B6627C">
        <w:trPr>
          <w:jc w:val="center"/>
        </w:trPr>
        <w:tc>
          <w:tcPr>
            <w:tcW w:w="5098" w:type="dxa"/>
          </w:tcPr>
          <w:p w14:paraId="4DD799F8" w14:textId="42C0767E" w:rsidR="00B204E3" w:rsidRPr="00C05ABF" w:rsidRDefault="00B204E3" w:rsidP="009762A2">
            <w:pPr>
              <w:spacing w:line="360" w:lineRule="auto"/>
              <w:rPr>
                <w:sz w:val="18"/>
                <w:szCs w:val="18"/>
              </w:rPr>
            </w:pPr>
            <w:r w:rsidRPr="00C05ABF">
              <w:rPr>
                <w:sz w:val="18"/>
                <w:szCs w:val="18"/>
              </w:rPr>
              <w:t>Participate in social groups</w:t>
            </w:r>
          </w:p>
        </w:tc>
        <w:tc>
          <w:tcPr>
            <w:tcW w:w="993" w:type="dxa"/>
          </w:tcPr>
          <w:p w14:paraId="1FADBAC3" w14:textId="596ACDB8" w:rsidR="00B204E3" w:rsidRDefault="00B204E3" w:rsidP="009762A2">
            <w:pPr>
              <w:spacing w:line="360" w:lineRule="auto"/>
              <w:rPr>
                <w:sz w:val="18"/>
                <w:szCs w:val="18"/>
              </w:rPr>
            </w:pPr>
          </w:p>
        </w:tc>
        <w:tc>
          <w:tcPr>
            <w:tcW w:w="993" w:type="dxa"/>
          </w:tcPr>
          <w:p w14:paraId="633A8E5E" w14:textId="7C155500" w:rsidR="00B204E3" w:rsidRPr="00C05ABF" w:rsidRDefault="00B204E3" w:rsidP="009762A2">
            <w:pPr>
              <w:spacing w:line="360" w:lineRule="auto"/>
              <w:rPr>
                <w:sz w:val="18"/>
                <w:szCs w:val="18"/>
              </w:rPr>
            </w:pPr>
          </w:p>
        </w:tc>
        <w:tc>
          <w:tcPr>
            <w:tcW w:w="993" w:type="dxa"/>
            <w:vAlign w:val="center"/>
          </w:tcPr>
          <w:p w14:paraId="6934D0E7" w14:textId="052A5AB6" w:rsidR="00B204E3" w:rsidRDefault="00BC6682" w:rsidP="00B6627C">
            <w:pPr>
              <w:spacing w:line="360" w:lineRule="auto"/>
              <w:jc w:val="center"/>
              <w:rPr>
                <w:sz w:val="18"/>
                <w:szCs w:val="18"/>
              </w:rPr>
            </w:pPr>
            <w:r>
              <w:rPr>
                <w:sz w:val="18"/>
                <w:szCs w:val="18"/>
              </w:rPr>
              <w:t>31.4</w:t>
            </w:r>
          </w:p>
        </w:tc>
      </w:tr>
      <w:tr w:rsidR="00B204E3" w:rsidRPr="009C13BA" w14:paraId="1691118D" w14:textId="135DA363" w:rsidTr="00B6627C">
        <w:trPr>
          <w:jc w:val="center"/>
        </w:trPr>
        <w:tc>
          <w:tcPr>
            <w:tcW w:w="5098" w:type="dxa"/>
            <w:tcBorders>
              <w:bottom w:val="single" w:sz="4" w:space="0" w:color="auto"/>
            </w:tcBorders>
          </w:tcPr>
          <w:p w14:paraId="7DC1C3AD" w14:textId="451FAC25" w:rsidR="00B204E3" w:rsidRPr="00C05ABF" w:rsidRDefault="00B204E3" w:rsidP="009762A2">
            <w:pPr>
              <w:spacing w:line="360" w:lineRule="auto"/>
              <w:rPr>
                <w:sz w:val="18"/>
                <w:szCs w:val="18"/>
              </w:rPr>
            </w:pPr>
            <w:r w:rsidRPr="00C05ABF">
              <w:rPr>
                <w:sz w:val="18"/>
                <w:szCs w:val="18"/>
              </w:rPr>
              <w:t>Few people to count on (none/one or two)</w:t>
            </w:r>
          </w:p>
        </w:tc>
        <w:tc>
          <w:tcPr>
            <w:tcW w:w="993" w:type="dxa"/>
            <w:tcBorders>
              <w:bottom w:val="single" w:sz="4" w:space="0" w:color="auto"/>
            </w:tcBorders>
          </w:tcPr>
          <w:p w14:paraId="7B03FE7F" w14:textId="7D4E16FF" w:rsidR="00B204E3" w:rsidRDefault="00B204E3" w:rsidP="009762A2">
            <w:pPr>
              <w:spacing w:line="360" w:lineRule="auto"/>
              <w:rPr>
                <w:sz w:val="18"/>
                <w:szCs w:val="18"/>
              </w:rPr>
            </w:pPr>
          </w:p>
        </w:tc>
        <w:tc>
          <w:tcPr>
            <w:tcW w:w="993" w:type="dxa"/>
            <w:tcBorders>
              <w:bottom w:val="single" w:sz="4" w:space="0" w:color="auto"/>
            </w:tcBorders>
          </w:tcPr>
          <w:p w14:paraId="0D7CB3CB" w14:textId="7162FB42" w:rsidR="00B204E3" w:rsidRPr="00C05ABF" w:rsidRDefault="00B204E3" w:rsidP="009762A2">
            <w:pPr>
              <w:spacing w:line="360" w:lineRule="auto"/>
              <w:rPr>
                <w:sz w:val="18"/>
                <w:szCs w:val="18"/>
              </w:rPr>
            </w:pPr>
          </w:p>
        </w:tc>
        <w:tc>
          <w:tcPr>
            <w:tcW w:w="993" w:type="dxa"/>
            <w:tcBorders>
              <w:bottom w:val="single" w:sz="4" w:space="0" w:color="auto"/>
            </w:tcBorders>
            <w:vAlign w:val="center"/>
          </w:tcPr>
          <w:p w14:paraId="0A51BEF2" w14:textId="09A687BF" w:rsidR="00B204E3" w:rsidRDefault="00BC6682" w:rsidP="00B6627C">
            <w:pPr>
              <w:spacing w:line="360" w:lineRule="auto"/>
              <w:jc w:val="center"/>
              <w:rPr>
                <w:sz w:val="18"/>
                <w:szCs w:val="18"/>
              </w:rPr>
            </w:pPr>
            <w:r>
              <w:rPr>
                <w:sz w:val="18"/>
                <w:szCs w:val="18"/>
              </w:rPr>
              <w:t>26.0</w:t>
            </w:r>
          </w:p>
        </w:tc>
      </w:tr>
      <w:tr w:rsidR="00B204E3" w:rsidRPr="009C13BA" w14:paraId="6D955E18" w14:textId="0F4B01D4" w:rsidTr="00B6627C">
        <w:trPr>
          <w:jc w:val="center"/>
        </w:trPr>
        <w:tc>
          <w:tcPr>
            <w:tcW w:w="5098" w:type="dxa"/>
            <w:tcBorders>
              <w:top w:val="single" w:sz="4" w:space="0" w:color="auto"/>
              <w:bottom w:val="single" w:sz="4" w:space="0" w:color="auto"/>
            </w:tcBorders>
          </w:tcPr>
          <w:p w14:paraId="64F833B2" w14:textId="6C3883DA" w:rsidR="00B204E3" w:rsidRPr="00C05ABF" w:rsidRDefault="00B204E3" w:rsidP="009762A2">
            <w:pPr>
              <w:spacing w:line="360" w:lineRule="auto"/>
              <w:rPr>
                <w:sz w:val="18"/>
                <w:szCs w:val="18"/>
              </w:rPr>
            </w:pPr>
            <w:r>
              <w:rPr>
                <w:sz w:val="18"/>
                <w:szCs w:val="18"/>
              </w:rPr>
              <w:t>N</w:t>
            </w:r>
          </w:p>
        </w:tc>
        <w:tc>
          <w:tcPr>
            <w:tcW w:w="993" w:type="dxa"/>
            <w:tcBorders>
              <w:top w:val="single" w:sz="4" w:space="0" w:color="auto"/>
              <w:bottom w:val="single" w:sz="4" w:space="0" w:color="auto"/>
            </w:tcBorders>
          </w:tcPr>
          <w:p w14:paraId="179A356A" w14:textId="14186193" w:rsidR="00B204E3" w:rsidRDefault="00B204E3" w:rsidP="009762A2">
            <w:pPr>
              <w:spacing w:line="360" w:lineRule="auto"/>
              <w:rPr>
                <w:sz w:val="18"/>
                <w:szCs w:val="18"/>
              </w:rPr>
            </w:pPr>
            <w:r>
              <w:rPr>
                <w:sz w:val="18"/>
                <w:szCs w:val="18"/>
              </w:rPr>
              <w:t>7306</w:t>
            </w:r>
          </w:p>
        </w:tc>
        <w:tc>
          <w:tcPr>
            <w:tcW w:w="993" w:type="dxa"/>
            <w:tcBorders>
              <w:top w:val="single" w:sz="4" w:space="0" w:color="auto"/>
              <w:bottom w:val="single" w:sz="4" w:space="0" w:color="auto"/>
            </w:tcBorders>
          </w:tcPr>
          <w:p w14:paraId="20E4336B" w14:textId="0994414F" w:rsidR="00B204E3" w:rsidRDefault="00B204E3" w:rsidP="009762A2">
            <w:pPr>
              <w:spacing w:line="360" w:lineRule="auto"/>
              <w:rPr>
                <w:sz w:val="18"/>
                <w:szCs w:val="18"/>
              </w:rPr>
            </w:pPr>
            <w:r>
              <w:rPr>
                <w:sz w:val="18"/>
                <w:szCs w:val="18"/>
              </w:rPr>
              <w:t>7314</w:t>
            </w:r>
          </w:p>
        </w:tc>
        <w:tc>
          <w:tcPr>
            <w:tcW w:w="993" w:type="dxa"/>
            <w:tcBorders>
              <w:top w:val="single" w:sz="4" w:space="0" w:color="auto"/>
              <w:bottom w:val="single" w:sz="4" w:space="0" w:color="auto"/>
            </w:tcBorders>
            <w:vAlign w:val="center"/>
          </w:tcPr>
          <w:p w14:paraId="4B91EE84" w14:textId="4FFDC485" w:rsidR="003740B7" w:rsidRDefault="00BC6682" w:rsidP="00BC44C9">
            <w:pPr>
              <w:spacing w:line="360" w:lineRule="auto"/>
              <w:jc w:val="center"/>
              <w:rPr>
                <w:sz w:val="18"/>
                <w:szCs w:val="18"/>
              </w:rPr>
            </w:pPr>
            <w:r>
              <w:rPr>
                <w:sz w:val="18"/>
                <w:szCs w:val="18"/>
              </w:rPr>
              <w:t>14620</w:t>
            </w:r>
          </w:p>
        </w:tc>
      </w:tr>
    </w:tbl>
    <w:p w14:paraId="63D05F26" w14:textId="77777777" w:rsidR="00903820" w:rsidRDefault="00903820" w:rsidP="00137259">
      <w:pPr>
        <w:spacing w:line="360" w:lineRule="auto"/>
        <w:rPr>
          <w:b/>
          <w:bCs/>
        </w:rPr>
      </w:pPr>
    </w:p>
    <w:p w14:paraId="6AF8AAF4" w14:textId="40A50457" w:rsidR="005B29F4" w:rsidRDefault="005B29F4" w:rsidP="001A2389">
      <w:pPr>
        <w:spacing w:line="360" w:lineRule="auto"/>
        <w:rPr>
          <w:sz w:val="24"/>
          <w:szCs w:val="24"/>
        </w:rPr>
      </w:pPr>
      <w:r w:rsidRPr="005B29F4">
        <w:rPr>
          <w:sz w:val="24"/>
          <w:szCs w:val="24"/>
        </w:rPr>
        <w:t xml:space="preserve">Table 2 </w:t>
      </w:r>
      <w:r w:rsidR="00E91EAC">
        <w:rPr>
          <w:sz w:val="24"/>
          <w:szCs w:val="24"/>
        </w:rPr>
        <w:t>presents</w:t>
      </w:r>
      <w:r w:rsidRPr="005B29F4">
        <w:rPr>
          <w:sz w:val="24"/>
          <w:szCs w:val="24"/>
        </w:rPr>
        <w:t xml:space="preserve"> the factors </w:t>
      </w:r>
      <w:r w:rsidR="00E91EAC">
        <w:rPr>
          <w:sz w:val="24"/>
          <w:szCs w:val="24"/>
        </w:rPr>
        <w:t xml:space="preserve">estimated to </w:t>
      </w:r>
      <w:r w:rsidRPr="005B29F4">
        <w:rPr>
          <w:sz w:val="24"/>
          <w:szCs w:val="24"/>
        </w:rPr>
        <w:t xml:space="preserve">predict both acute and </w:t>
      </w:r>
      <w:r w:rsidR="00E91EAC">
        <w:rPr>
          <w:sz w:val="24"/>
          <w:szCs w:val="24"/>
        </w:rPr>
        <w:t>broader</w:t>
      </w:r>
      <w:r w:rsidRPr="005B29F4">
        <w:rPr>
          <w:sz w:val="24"/>
          <w:szCs w:val="24"/>
        </w:rPr>
        <w:t xml:space="preserve"> experience</w:t>
      </w:r>
      <w:r w:rsidR="00E91EAC">
        <w:rPr>
          <w:sz w:val="24"/>
          <w:szCs w:val="24"/>
        </w:rPr>
        <w:t>s</w:t>
      </w:r>
      <w:r w:rsidRPr="005B29F4">
        <w:rPr>
          <w:sz w:val="24"/>
          <w:szCs w:val="24"/>
        </w:rPr>
        <w:t xml:space="preserve"> of loneliness. Gender, age, health, relationships, employment, social connections, and mental health</w:t>
      </w:r>
      <w:r w:rsidR="00E91EAC">
        <w:rPr>
          <w:sz w:val="24"/>
          <w:szCs w:val="24"/>
        </w:rPr>
        <w:t xml:space="preserve"> are all estimated</w:t>
      </w:r>
      <w:r w:rsidRPr="005B29F4">
        <w:rPr>
          <w:sz w:val="24"/>
          <w:szCs w:val="24"/>
        </w:rPr>
        <w:t xml:space="preserve"> </w:t>
      </w:r>
      <w:r w:rsidR="00E91EAC">
        <w:rPr>
          <w:sz w:val="24"/>
          <w:szCs w:val="24"/>
        </w:rPr>
        <w:t>to</w:t>
      </w:r>
      <w:r w:rsidRPr="005B29F4">
        <w:rPr>
          <w:sz w:val="24"/>
          <w:szCs w:val="24"/>
        </w:rPr>
        <w:t xml:space="preserve"> play significant roles. Specifically</w:t>
      </w:r>
      <w:r w:rsidR="00E91EAC">
        <w:rPr>
          <w:sz w:val="24"/>
          <w:szCs w:val="24"/>
        </w:rPr>
        <w:t>,</w:t>
      </w:r>
      <w:r w:rsidRPr="005B29F4">
        <w:rPr>
          <w:sz w:val="24"/>
          <w:szCs w:val="24"/>
        </w:rPr>
        <w:t xml:space="preserve"> </w:t>
      </w:r>
      <w:r w:rsidR="009271E2">
        <w:rPr>
          <w:sz w:val="24"/>
          <w:szCs w:val="24"/>
        </w:rPr>
        <w:t>being female was greater associated with</w:t>
      </w:r>
      <w:r w:rsidRPr="005B29F4">
        <w:rPr>
          <w:sz w:val="24"/>
          <w:szCs w:val="24"/>
        </w:rPr>
        <w:t xml:space="preserve"> report</w:t>
      </w:r>
      <w:r w:rsidR="009271E2">
        <w:rPr>
          <w:sz w:val="24"/>
          <w:szCs w:val="24"/>
        </w:rPr>
        <w:t>s of</w:t>
      </w:r>
      <w:r w:rsidRPr="005B29F4">
        <w:rPr>
          <w:sz w:val="24"/>
          <w:szCs w:val="24"/>
        </w:rPr>
        <w:t xml:space="preserve"> loneliness, </w:t>
      </w:r>
      <w:r w:rsidR="00E91EAC">
        <w:rPr>
          <w:sz w:val="24"/>
          <w:szCs w:val="24"/>
        </w:rPr>
        <w:t xml:space="preserve">while older age groups (50-64 years, and 65+ years) were significantly less likely to </w:t>
      </w:r>
      <w:r w:rsidR="00721437">
        <w:rPr>
          <w:sz w:val="24"/>
          <w:szCs w:val="24"/>
        </w:rPr>
        <w:t xml:space="preserve">report </w:t>
      </w:r>
      <w:r w:rsidR="00E91EAC">
        <w:rPr>
          <w:sz w:val="24"/>
          <w:szCs w:val="24"/>
        </w:rPr>
        <w:t>experienc</w:t>
      </w:r>
      <w:r w:rsidR="00721437">
        <w:rPr>
          <w:sz w:val="24"/>
          <w:szCs w:val="24"/>
        </w:rPr>
        <w:t>ing</w:t>
      </w:r>
      <w:r w:rsidR="00E91EAC">
        <w:rPr>
          <w:sz w:val="24"/>
          <w:szCs w:val="24"/>
        </w:rPr>
        <w:t xml:space="preserve"> loneliness than young people (15-29 years)</w:t>
      </w:r>
      <w:r w:rsidRPr="005B29F4">
        <w:rPr>
          <w:sz w:val="24"/>
          <w:szCs w:val="24"/>
        </w:rPr>
        <w:t xml:space="preserve">. Good health was </w:t>
      </w:r>
      <w:r w:rsidR="00BB26F3">
        <w:rPr>
          <w:sz w:val="24"/>
          <w:szCs w:val="24"/>
        </w:rPr>
        <w:t xml:space="preserve">estimated to be </w:t>
      </w:r>
      <w:r w:rsidRPr="005B29F4">
        <w:rPr>
          <w:sz w:val="24"/>
          <w:szCs w:val="24"/>
        </w:rPr>
        <w:t xml:space="preserve">protective against loneliness, while disability increased </w:t>
      </w:r>
      <w:r w:rsidR="00BB26F3">
        <w:rPr>
          <w:sz w:val="24"/>
          <w:szCs w:val="24"/>
        </w:rPr>
        <w:t xml:space="preserve">the </w:t>
      </w:r>
      <w:r w:rsidRPr="005B29F4">
        <w:rPr>
          <w:sz w:val="24"/>
          <w:szCs w:val="24"/>
        </w:rPr>
        <w:t xml:space="preserve">risk. Marriage decreased loneliness compared to being single. Unemployment and home duties were linked to greater loneliness, though this link was less strong when accounting for mental health. Social group participation reduced loneliness, while having few social supports strongly increased it. Critically, probable mental health issues were a strong predictor of both acute and </w:t>
      </w:r>
      <w:r w:rsidR="00BB26F3">
        <w:rPr>
          <w:sz w:val="24"/>
          <w:szCs w:val="24"/>
        </w:rPr>
        <w:t>at least sometimes experiencing</w:t>
      </w:r>
      <w:r w:rsidRPr="005B29F4">
        <w:rPr>
          <w:sz w:val="24"/>
          <w:szCs w:val="24"/>
        </w:rPr>
        <w:t xml:space="preserve"> loneliness, increasing the likelihood by 14.0</w:t>
      </w:r>
      <w:r w:rsidR="00BB26F3">
        <w:rPr>
          <w:sz w:val="24"/>
          <w:szCs w:val="24"/>
        </w:rPr>
        <w:t xml:space="preserve"> percentage points</w:t>
      </w:r>
      <w:r w:rsidRPr="005B29F4">
        <w:rPr>
          <w:sz w:val="24"/>
          <w:szCs w:val="24"/>
        </w:rPr>
        <w:t xml:space="preserve"> and 27.3</w:t>
      </w:r>
      <w:r w:rsidR="00BB26F3">
        <w:rPr>
          <w:sz w:val="24"/>
          <w:szCs w:val="24"/>
        </w:rPr>
        <w:t xml:space="preserve"> percentage points</w:t>
      </w:r>
      <w:r w:rsidRPr="005B29F4">
        <w:rPr>
          <w:sz w:val="24"/>
          <w:szCs w:val="24"/>
        </w:rPr>
        <w:t xml:space="preserve">, respectively. Finally, the 2021 indicator, reflecting the impact of </w:t>
      </w:r>
      <w:r w:rsidR="00B9523A">
        <w:rPr>
          <w:sz w:val="24"/>
          <w:szCs w:val="24"/>
        </w:rPr>
        <w:t xml:space="preserve">the </w:t>
      </w:r>
      <w:r w:rsidRPr="005B29F4">
        <w:rPr>
          <w:sz w:val="24"/>
          <w:szCs w:val="24"/>
        </w:rPr>
        <w:t>COVID-19 restrictions, showed a 2.3</w:t>
      </w:r>
      <w:r w:rsidR="00B9523A">
        <w:rPr>
          <w:sz w:val="24"/>
          <w:szCs w:val="24"/>
        </w:rPr>
        <w:t xml:space="preserve"> percentage point</w:t>
      </w:r>
      <w:r w:rsidRPr="005B29F4">
        <w:rPr>
          <w:sz w:val="24"/>
          <w:szCs w:val="24"/>
        </w:rPr>
        <w:t xml:space="preserve"> </w:t>
      </w:r>
      <w:r w:rsidR="00C267AB">
        <w:rPr>
          <w:sz w:val="24"/>
          <w:szCs w:val="24"/>
        </w:rPr>
        <w:t>greater association with</w:t>
      </w:r>
      <w:r w:rsidRPr="005B29F4">
        <w:rPr>
          <w:sz w:val="24"/>
          <w:szCs w:val="24"/>
        </w:rPr>
        <w:t xml:space="preserve"> acute loneliness</w:t>
      </w:r>
      <w:r w:rsidR="00C267AB">
        <w:rPr>
          <w:sz w:val="24"/>
          <w:szCs w:val="24"/>
        </w:rPr>
        <w:t>,</w:t>
      </w:r>
      <w:r w:rsidRPr="005B29F4">
        <w:rPr>
          <w:sz w:val="24"/>
          <w:szCs w:val="24"/>
        </w:rPr>
        <w:t xml:space="preserve"> and a 6.4</w:t>
      </w:r>
      <w:r w:rsidR="00B9523A">
        <w:rPr>
          <w:sz w:val="24"/>
          <w:szCs w:val="24"/>
        </w:rPr>
        <w:t xml:space="preserve"> percentage point</w:t>
      </w:r>
      <w:r w:rsidRPr="005B29F4">
        <w:rPr>
          <w:sz w:val="24"/>
          <w:szCs w:val="24"/>
        </w:rPr>
        <w:t xml:space="preserve"> </w:t>
      </w:r>
      <w:r w:rsidR="00C267AB">
        <w:rPr>
          <w:sz w:val="24"/>
          <w:szCs w:val="24"/>
        </w:rPr>
        <w:t>higher association with</w:t>
      </w:r>
      <w:r w:rsidRPr="005B29F4">
        <w:rPr>
          <w:sz w:val="24"/>
          <w:szCs w:val="24"/>
        </w:rPr>
        <w:t xml:space="preserve"> </w:t>
      </w:r>
      <w:r w:rsidR="004E4B45">
        <w:rPr>
          <w:sz w:val="24"/>
          <w:szCs w:val="24"/>
        </w:rPr>
        <w:t>broader report</w:t>
      </w:r>
      <w:r w:rsidR="00C267AB">
        <w:rPr>
          <w:sz w:val="24"/>
          <w:szCs w:val="24"/>
        </w:rPr>
        <w:t>s</w:t>
      </w:r>
      <w:r w:rsidR="004E4B45">
        <w:rPr>
          <w:sz w:val="24"/>
          <w:szCs w:val="24"/>
        </w:rPr>
        <w:t xml:space="preserve"> of</w:t>
      </w:r>
      <w:r w:rsidRPr="005B29F4">
        <w:rPr>
          <w:sz w:val="24"/>
          <w:szCs w:val="24"/>
        </w:rPr>
        <w:t xml:space="preserve"> loneliness.</w:t>
      </w:r>
    </w:p>
    <w:p w14:paraId="12412FC0" w14:textId="6BFC15E5" w:rsidR="00E50203" w:rsidRDefault="00E50203" w:rsidP="001A2389">
      <w:pPr>
        <w:spacing w:line="360" w:lineRule="auto"/>
        <w:rPr>
          <w:sz w:val="24"/>
          <w:szCs w:val="24"/>
        </w:rPr>
      </w:pPr>
      <w:r>
        <w:rPr>
          <w:sz w:val="24"/>
          <w:szCs w:val="24"/>
        </w:rPr>
        <w:t xml:space="preserve">An interaction of the </w:t>
      </w:r>
      <w:r w:rsidR="00771976">
        <w:rPr>
          <w:sz w:val="24"/>
          <w:szCs w:val="24"/>
        </w:rPr>
        <w:t xml:space="preserve">2021 </w:t>
      </w:r>
      <w:r w:rsidR="00E16837">
        <w:rPr>
          <w:sz w:val="24"/>
          <w:szCs w:val="24"/>
        </w:rPr>
        <w:t>COVID-19 year</w:t>
      </w:r>
      <w:r w:rsidR="00771976">
        <w:rPr>
          <w:sz w:val="24"/>
          <w:szCs w:val="24"/>
        </w:rPr>
        <w:t xml:space="preserve"> with the female dummy</w:t>
      </w:r>
      <w:r w:rsidR="001C30B3">
        <w:rPr>
          <w:sz w:val="24"/>
          <w:szCs w:val="24"/>
        </w:rPr>
        <w:t>, shows that c</w:t>
      </w:r>
      <w:r w:rsidR="001C30B3" w:rsidRPr="001C30B3">
        <w:rPr>
          <w:sz w:val="24"/>
          <w:szCs w:val="24"/>
        </w:rPr>
        <w:t>ompared to mal</w:t>
      </w:r>
      <w:r w:rsidR="001C30B3">
        <w:rPr>
          <w:sz w:val="24"/>
          <w:szCs w:val="24"/>
        </w:rPr>
        <w:t>es</w:t>
      </w:r>
      <w:r w:rsidR="001C30B3" w:rsidRPr="001C30B3">
        <w:rPr>
          <w:sz w:val="24"/>
          <w:szCs w:val="24"/>
        </w:rPr>
        <w:t>, female</w:t>
      </w:r>
      <w:r w:rsidR="001C30B3">
        <w:rPr>
          <w:sz w:val="24"/>
          <w:szCs w:val="24"/>
        </w:rPr>
        <w:t>s</w:t>
      </w:r>
      <w:r w:rsidR="001C30B3" w:rsidRPr="001C30B3">
        <w:rPr>
          <w:sz w:val="24"/>
          <w:szCs w:val="24"/>
        </w:rPr>
        <w:t xml:space="preserve"> </w:t>
      </w:r>
      <w:r w:rsidR="00423D4C">
        <w:rPr>
          <w:sz w:val="24"/>
          <w:szCs w:val="24"/>
        </w:rPr>
        <w:t>had</w:t>
      </w:r>
      <w:r w:rsidR="001C30B3" w:rsidRPr="001C30B3">
        <w:rPr>
          <w:sz w:val="24"/>
          <w:szCs w:val="24"/>
        </w:rPr>
        <w:t xml:space="preserve"> a significantly higher probability of </w:t>
      </w:r>
      <w:r w:rsidR="007C661F">
        <w:rPr>
          <w:sz w:val="24"/>
          <w:szCs w:val="24"/>
        </w:rPr>
        <w:t>reporting</w:t>
      </w:r>
      <w:r w:rsidR="001C30B3" w:rsidRPr="001C30B3">
        <w:rPr>
          <w:sz w:val="24"/>
          <w:szCs w:val="24"/>
        </w:rPr>
        <w:t xml:space="preserve"> </w:t>
      </w:r>
      <w:r w:rsidR="001C30B3">
        <w:rPr>
          <w:sz w:val="24"/>
          <w:szCs w:val="24"/>
        </w:rPr>
        <w:t>more severe loneliness</w:t>
      </w:r>
      <w:r w:rsidR="001C30B3" w:rsidRPr="001C30B3">
        <w:rPr>
          <w:sz w:val="24"/>
          <w:szCs w:val="24"/>
        </w:rPr>
        <w:t xml:space="preserve"> </w:t>
      </w:r>
      <w:r w:rsidR="001C30B3">
        <w:rPr>
          <w:sz w:val="24"/>
          <w:szCs w:val="24"/>
        </w:rPr>
        <w:t>during</w:t>
      </w:r>
      <w:r w:rsidR="001C30B3" w:rsidRPr="001C30B3">
        <w:rPr>
          <w:sz w:val="24"/>
          <w:szCs w:val="24"/>
        </w:rPr>
        <w:t xml:space="preserve"> th</w:t>
      </w:r>
      <w:r w:rsidR="007C661F">
        <w:rPr>
          <w:sz w:val="24"/>
          <w:szCs w:val="24"/>
        </w:rPr>
        <w:t>is period</w:t>
      </w:r>
      <w:r w:rsidR="00487D79">
        <w:rPr>
          <w:sz w:val="24"/>
          <w:szCs w:val="24"/>
        </w:rPr>
        <w:t xml:space="preserve">, as depicted in the </w:t>
      </w:r>
      <w:r w:rsidR="003E64C1">
        <w:rPr>
          <w:sz w:val="24"/>
          <w:szCs w:val="24"/>
        </w:rPr>
        <w:t>margin’s</w:t>
      </w:r>
      <w:r w:rsidR="00487D79">
        <w:rPr>
          <w:sz w:val="24"/>
          <w:szCs w:val="24"/>
        </w:rPr>
        <w:t xml:space="preserve"> plots </w:t>
      </w:r>
      <w:r w:rsidR="00EC3735">
        <w:rPr>
          <w:sz w:val="24"/>
          <w:szCs w:val="24"/>
        </w:rPr>
        <w:t xml:space="preserve">in Figure 3. </w:t>
      </w:r>
      <w:r w:rsidR="00D658F2">
        <w:rPr>
          <w:sz w:val="24"/>
          <w:szCs w:val="24"/>
        </w:rPr>
        <w:t>T</w:t>
      </w:r>
      <w:r w:rsidR="00EC3735">
        <w:rPr>
          <w:sz w:val="24"/>
          <w:szCs w:val="24"/>
        </w:rPr>
        <w:t xml:space="preserve">he stronger effect of the COVID experience </w:t>
      </w:r>
      <w:r w:rsidR="003E64C1">
        <w:rPr>
          <w:sz w:val="24"/>
          <w:szCs w:val="24"/>
        </w:rPr>
        <w:t xml:space="preserve">on loneliness </w:t>
      </w:r>
      <w:r w:rsidR="007E0AB8">
        <w:rPr>
          <w:sz w:val="24"/>
          <w:szCs w:val="24"/>
        </w:rPr>
        <w:t>for</w:t>
      </w:r>
      <w:r w:rsidR="00EC3735">
        <w:rPr>
          <w:sz w:val="24"/>
          <w:szCs w:val="24"/>
        </w:rPr>
        <w:t xml:space="preserve"> </w:t>
      </w:r>
      <w:r w:rsidR="00D658F2">
        <w:rPr>
          <w:sz w:val="24"/>
          <w:szCs w:val="24"/>
        </w:rPr>
        <w:t>young people</w:t>
      </w:r>
      <w:r w:rsidR="003E64C1">
        <w:rPr>
          <w:sz w:val="24"/>
          <w:szCs w:val="24"/>
        </w:rPr>
        <w:t xml:space="preserve"> is also evident. </w:t>
      </w:r>
    </w:p>
    <w:p w14:paraId="5061804C" w14:textId="77777777" w:rsidR="00E16837" w:rsidRDefault="00E16837">
      <w:pPr>
        <w:rPr>
          <w:b/>
          <w:bCs/>
          <w:sz w:val="24"/>
          <w:szCs w:val="24"/>
        </w:rPr>
      </w:pPr>
      <w:r>
        <w:rPr>
          <w:b/>
          <w:bCs/>
          <w:sz w:val="24"/>
          <w:szCs w:val="24"/>
        </w:rPr>
        <w:br w:type="page"/>
      </w:r>
    </w:p>
    <w:p w14:paraId="3EADC651" w14:textId="3181A8E8" w:rsidR="00E16837" w:rsidRPr="00E16837" w:rsidRDefault="00E16837" w:rsidP="001A2389">
      <w:pPr>
        <w:spacing w:line="360" w:lineRule="auto"/>
        <w:rPr>
          <w:b/>
          <w:bCs/>
          <w:sz w:val="24"/>
          <w:szCs w:val="24"/>
        </w:rPr>
      </w:pPr>
      <w:r w:rsidRPr="00E16837">
        <w:rPr>
          <w:b/>
          <w:bCs/>
          <w:sz w:val="24"/>
          <w:szCs w:val="24"/>
        </w:rPr>
        <w:t xml:space="preserve">Figure 3: </w:t>
      </w:r>
      <w:r w:rsidR="00C94335">
        <w:rPr>
          <w:b/>
          <w:bCs/>
          <w:sz w:val="24"/>
          <w:szCs w:val="24"/>
        </w:rPr>
        <w:t>L</w:t>
      </w:r>
      <w:r w:rsidRPr="00E16837">
        <w:rPr>
          <w:b/>
          <w:bCs/>
          <w:sz w:val="24"/>
          <w:szCs w:val="24"/>
        </w:rPr>
        <w:t xml:space="preserve">oneliness during COVID-19: </w:t>
      </w:r>
      <w:r w:rsidR="00304E29">
        <w:rPr>
          <w:b/>
          <w:bCs/>
          <w:sz w:val="24"/>
          <w:szCs w:val="24"/>
        </w:rPr>
        <w:t xml:space="preserve">interactions </w:t>
      </w:r>
      <w:r w:rsidRPr="00E16837">
        <w:rPr>
          <w:b/>
          <w:bCs/>
          <w:sz w:val="24"/>
          <w:szCs w:val="24"/>
        </w:rPr>
        <w:t>by female and age categories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C05F9" w14:paraId="4C865FAB" w14:textId="77777777" w:rsidTr="00E16837">
        <w:tc>
          <w:tcPr>
            <w:tcW w:w="9016" w:type="dxa"/>
            <w:gridSpan w:val="2"/>
            <w:tcBorders>
              <w:top w:val="single" w:sz="4" w:space="0" w:color="auto"/>
              <w:bottom w:val="single" w:sz="4" w:space="0" w:color="auto"/>
            </w:tcBorders>
          </w:tcPr>
          <w:p w14:paraId="1023E7F5" w14:textId="246D4646" w:rsidR="00AC05F9" w:rsidRPr="00423D4C" w:rsidRDefault="00F93508" w:rsidP="00423D4C">
            <w:pPr>
              <w:pStyle w:val="ListParagraph"/>
              <w:numPr>
                <w:ilvl w:val="0"/>
                <w:numId w:val="15"/>
              </w:numPr>
              <w:rPr>
                <w:sz w:val="24"/>
                <w:szCs w:val="24"/>
              </w:rPr>
            </w:pPr>
            <w:r>
              <w:t xml:space="preserve">Associations of changes in </w:t>
            </w:r>
            <w:r w:rsidR="00E16837">
              <w:t xml:space="preserve">‘often or always’ lonely during </w:t>
            </w:r>
            <w:r>
              <w:t>COVID-19</w:t>
            </w:r>
            <w:r w:rsidR="00E16837">
              <w:t xml:space="preserve">: </w:t>
            </w:r>
            <w:r w:rsidR="00304E29">
              <w:t>i</w:t>
            </w:r>
            <w:r>
              <w:t xml:space="preserve">nteraction </w:t>
            </w:r>
            <w:r w:rsidR="00E16837">
              <w:t>p</w:t>
            </w:r>
            <w:r>
              <w:t>lots</w:t>
            </w:r>
          </w:p>
        </w:tc>
      </w:tr>
      <w:tr w:rsidR="00394A00" w14:paraId="40809A94" w14:textId="77777777" w:rsidTr="00E16837">
        <w:tc>
          <w:tcPr>
            <w:tcW w:w="4508" w:type="dxa"/>
            <w:tcBorders>
              <w:top w:val="single" w:sz="4" w:space="0" w:color="auto"/>
              <w:bottom w:val="single" w:sz="4" w:space="0" w:color="auto"/>
            </w:tcBorders>
          </w:tcPr>
          <w:p w14:paraId="5A110FC4" w14:textId="726C6529" w:rsidR="003E64C1" w:rsidRPr="00394A00" w:rsidRDefault="00394A00" w:rsidP="00394A00">
            <w:pPr>
              <w:spacing w:before="100" w:beforeAutospacing="1" w:after="100" w:afterAutospacing="1"/>
              <w:jc w:val="center"/>
              <w:rPr>
                <w:rFonts w:ascii="Times New Roman" w:eastAsia="Times New Roman" w:hAnsi="Times New Roman" w:cs="Times New Roman"/>
                <w:kern w:val="0"/>
                <w:sz w:val="24"/>
                <w:szCs w:val="24"/>
                <w:lang w:eastAsia="en-IE"/>
                <w14:ligatures w14:val="none"/>
              </w:rPr>
            </w:pPr>
            <w:r w:rsidRPr="00394A00">
              <w:rPr>
                <w:rFonts w:ascii="Times New Roman" w:eastAsia="Times New Roman" w:hAnsi="Times New Roman" w:cs="Times New Roman"/>
                <w:noProof/>
                <w:kern w:val="0"/>
                <w:sz w:val="24"/>
                <w:szCs w:val="24"/>
                <w:lang w:eastAsia="en-IE"/>
                <w14:ligatures w14:val="none"/>
              </w:rPr>
              <w:drawing>
                <wp:inline distT="0" distB="0" distL="0" distR="0" wp14:anchorId="5C54DBF9" wp14:editId="53559624">
                  <wp:extent cx="2646442" cy="1924685"/>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9505" cy="1934185"/>
                          </a:xfrm>
                          <a:prstGeom prst="rect">
                            <a:avLst/>
                          </a:prstGeom>
                          <a:noFill/>
                          <a:ln>
                            <a:noFill/>
                          </a:ln>
                        </pic:spPr>
                      </pic:pic>
                    </a:graphicData>
                  </a:graphic>
                </wp:inline>
              </w:drawing>
            </w:r>
          </w:p>
        </w:tc>
        <w:tc>
          <w:tcPr>
            <w:tcW w:w="4508" w:type="dxa"/>
            <w:tcBorders>
              <w:top w:val="single" w:sz="4" w:space="0" w:color="auto"/>
              <w:bottom w:val="single" w:sz="4" w:space="0" w:color="auto"/>
            </w:tcBorders>
          </w:tcPr>
          <w:p w14:paraId="5B96BA94" w14:textId="4C15A547" w:rsidR="003E64C1" w:rsidRPr="00394A00" w:rsidRDefault="00394A00" w:rsidP="00394A00">
            <w:pPr>
              <w:spacing w:before="100" w:beforeAutospacing="1" w:after="100" w:afterAutospacing="1"/>
              <w:jc w:val="center"/>
              <w:rPr>
                <w:rFonts w:ascii="Times New Roman" w:eastAsia="Times New Roman" w:hAnsi="Times New Roman" w:cs="Times New Roman"/>
                <w:kern w:val="0"/>
                <w:sz w:val="24"/>
                <w:szCs w:val="24"/>
                <w:lang w:eastAsia="en-IE"/>
                <w14:ligatures w14:val="none"/>
              </w:rPr>
            </w:pPr>
            <w:r w:rsidRPr="00394A00">
              <w:rPr>
                <w:rFonts w:ascii="Times New Roman" w:eastAsia="Times New Roman" w:hAnsi="Times New Roman" w:cs="Times New Roman"/>
                <w:noProof/>
                <w:kern w:val="0"/>
                <w:sz w:val="24"/>
                <w:szCs w:val="24"/>
                <w:lang w:eastAsia="en-IE"/>
                <w14:ligatures w14:val="none"/>
              </w:rPr>
              <w:drawing>
                <wp:inline distT="0" distB="0" distL="0" distR="0" wp14:anchorId="56E0A62F" wp14:editId="329BBED2">
                  <wp:extent cx="2655277" cy="19311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2059" cy="1943316"/>
                          </a:xfrm>
                          <a:prstGeom prst="rect">
                            <a:avLst/>
                          </a:prstGeom>
                          <a:noFill/>
                          <a:ln>
                            <a:noFill/>
                          </a:ln>
                        </pic:spPr>
                      </pic:pic>
                    </a:graphicData>
                  </a:graphic>
                </wp:inline>
              </w:drawing>
            </w:r>
          </w:p>
        </w:tc>
      </w:tr>
      <w:tr w:rsidR="00E16837" w14:paraId="1A526644" w14:textId="77777777" w:rsidTr="00E16837">
        <w:tc>
          <w:tcPr>
            <w:tcW w:w="9016" w:type="dxa"/>
            <w:gridSpan w:val="2"/>
            <w:tcBorders>
              <w:top w:val="single" w:sz="4" w:space="0" w:color="auto"/>
              <w:bottom w:val="single" w:sz="4" w:space="0" w:color="auto"/>
            </w:tcBorders>
          </w:tcPr>
          <w:p w14:paraId="276CF727" w14:textId="428ED3C9" w:rsidR="00E16837" w:rsidRPr="00423D4C" w:rsidRDefault="00E16837" w:rsidP="00423D4C">
            <w:pPr>
              <w:pStyle w:val="ListParagraph"/>
              <w:numPr>
                <w:ilvl w:val="0"/>
                <w:numId w:val="15"/>
              </w:numPr>
              <w:rPr>
                <w:sz w:val="24"/>
                <w:szCs w:val="24"/>
              </w:rPr>
            </w:pPr>
            <w:r>
              <w:t xml:space="preserve">Associations of changes in ‘sometimes, often or always’ lonely during COVID-19: </w:t>
            </w:r>
            <w:r w:rsidR="00304E29">
              <w:t>i</w:t>
            </w:r>
            <w:r>
              <w:t xml:space="preserve">nteraction plots </w:t>
            </w:r>
          </w:p>
        </w:tc>
      </w:tr>
      <w:tr w:rsidR="00394A00" w14:paraId="06C4BA65" w14:textId="77777777" w:rsidTr="00E16837">
        <w:tc>
          <w:tcPr>
            <w:tcW w:w="4508" w:type="dxa"/>
            <w:tcBorders>
              <w:top w:val="single" w:sz="4" w:space="0" w:color="auto"/>
              <w:bottom w:val="single" w:sz="4" w:space="0" w:color="auto"/>
            </w:tcBorders>
          </w:tcPr>
          <w:p w14:paraId="662A0309" w14:textId="6D6B6B59" w:rsidR="003E64C1" w:rsidRPr="00E60FAD" w:rsidRDefault="000D51B4" w:rsidP="00E60FAD">
            <w:pPr>
              <w:spacing w:before="100" w:beforeAutospacing="1" w:after="100" w:afterAutospacing="1"/>
              <w:jc w:val="center"/>
              <w:rPr>
                <w:rFonts w:ascii="Times New Roman" w:eastAsia="Times New Roman" w:hAnsi="Times New Roman" w:cs="Times New Roman"/>
                <w:kern w:val="0"/>
                <w:sz w:val="24"/>
                <w:szCs w:val="24"/>
                <w:lang w:eastAsia="en-IE"/>
                <w14:ligatures w14:val="none"/>
              </w:rPr>
            </w:pPr>
            <w:r w:rsidRPr="000D51B4">
              <w:rPr>
                <w:rFonts w:ascii="Times New Roman" w:eastAsia="Times New Roman" w:hAnsi="Times New Roman" w:cs="Times New Roman"/>
                <w:noProof/>
                <w:kern w:val="0"/>
                <w:sz w:val="24"/>
                <w:szCs w:val="24"/>
                <w:lang w:eastAsia="en-IE"/>
                <w14:ligatures w14:val="none"/>
              </w:rPr>
              <w:drawing>
                <wp:inline distT="0" distB="0" distL="0" distR="0" wp14:anchorId="1372EE58" wp14:editId="52D15EC7">
                  <wp:extent cx="2599226" cy="189034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8469" cy="1897068"/>
                          </a:xfrm>
                          <a:prstGeom prst="rect">
                            <a:avLst/>
                          </a:prstGeom>
                          <a:noFill/>
                          <a:ln>
                            <a:noFill/>
                          </a:ln>
                        </pic:spPr>
                      </pic:pic>
                    </a:graphicData>
                  </a:graphic>
                </wp:inline>
              </w:drawing>
            </w:r>
          </w:p>
        </w:tc>
        <w:tc>
          <w:tcPr>
            <w:tcW w:w="4508" w:type="dxa"/>
            <w:tcBorders>
              <w:top w:val="single" w:sz="4" w:space="0" w:color="auto"/>
              <w:bottom w:val="single" w:sz="4" w:space="0" w:color="auto"/>
            </w:tcBorders>
          </w:tcPr>
          <w:p w14:paraId="74C36348" w14:textId="381A056D" w:rsidR="003E64C1" w:rsidRPr="00E60FAD" w:rsidRDefault="00E60FAD" w:rsidP="00E60FAD">
            <w:pPr>
              <w:spacing w:before="100" w:beforeAutospacing="1" w:after="100" w:afterAutospacing="1"/>
              <w:rPr>
                <w:rFonts w:ascii="Times New Roman" w:eastAsia="Times New Roman" w:hAnsi="Times New Roman" w:cs="Times New Roman"/>
                <w:kern w:val="0"/>
                <w:sz w:val="24"/>
                <w:szCs w:val="24"/>
                <w:lang w:eastAsia="en-IE"/>
                <w14:ligatures w14:val="none"/>
              </w:rPr>
            </w:pPr>
            <w:r w:rsidRPr="00E60FAD">
              <w:rPr>
                <w:rFonts w:ascii="Times New Roman" w:eastAsia="Times New Roman" w:hAnsi="Times New Roman" w:cs="Times New Roman"/>
                <w:noProof/>
                <w:kern w:val="0"/>
                <w:sz w:val="24"/>
                <w:szCs w:val="24"/>
                <w:lang w:eastAsia="en-IE"/>
                <w14:ligatures w14:val="none"/>
              </w:rPr>
              <w:drawing>
                <wp:inline distT="0" distB="0" distL="0" distR="0" wp14:anchorId="611C7C30" wp14:editId="13460F7D">
                  <wp:extent cx="2620108" cy="1905533"/>
                  <wp:effectExtent l="0" t="0" r="889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220" cy="1925251"/>
                          </a:xfrm>
                          <a:prstGeom prst="rect">
                            <a:avLst/>
                          </a:prstGeom>
                          <a:noFill/>
                          <a:ln>
                            <a:noFill/>
                          </a:ln>
                        </pic:spPr>
                      </pic:pic>
                    </a:graphicData>
                  </a:graphic>
                </wp:inline>
              </w:drawing>
            </w:r>
          </w:p>
        </w:tc>
      </w:tr>
    </w:tbl>
    <w:p w14:paraId="592B9043" w14:textId="77777777" w:rsidR="003E64C1" w:rsidRDefault="003E64C1" w:rsidP="001A2389">
      <w:pPr>
        <w:spacing w:line="360" w:lineRule="auto"/>
        <w:rPr>
          <w:sz w:val="24"/>
          <w:szCs w:val="24"/>
        </w:rPr>
      </w:pPr>
    </w:p>
    <w:p w14:paraId="228BF77F" w14:textId="3294E026" w:rsidR="00A94A10" w:rsidRPr="00137259" w:rsidRDefault="00E84543" w:rsidP="00A94A10">
      <w:pPr>
        <w:spacing w:line="360" w:lineRule="auto"/>
        <w:rPr>
          <w:b/>
          <w:bCs/>
        </w:rPr>
      </w:pPr>
      <w:r>
        <w:rPr>
          <w:b/>
          <w:bCs/>
        </w:rPr>
        <w:br w:type="page"/>
      </w:r>
      <w:r w:rsidR="00A94A10">
        <w:rPr>
          <w:b/>
          <w:bCs/>
        </w:rPr>
        <w:t>Table 2: Estimation results on loneliness, 2021 &amp; 2023</w:t>
      </w:r>
    </w:p>
    <w:tbl>
      <w:tblPr>
        <w:tblStyle w:val="TableGrid"/>
        <w:tblW w:w="1058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3"/>
        <w:gridCol w:w="1773"/>
        <w:gridCol w:w="1984"/>
        <w:gridCol w:w="1560"/>
        <w:gridCol w:w="1557"/>
        <w:gridCol w:w="239"/>
        <w:gridCol w:w="1560"/>
      </w:tblGrid>
      <w:tr w:rsidR="00A94A10" w:rsidRPr="00915CC9" w14:paraId="46750520" w14:textId="77777777" w:rsidTr="00BE68EC">
        <w:trPr>
          <w:gridAfter w:val="1"/>
          <w:wAfter w:w="1560" w:type="dxa"/>
        </w:trPr>
        <w:tc>
          <w:tcPr>
            <w:tcW w:w="1913" w:type="dxa"/>
            <w:tcBorders>
              <w:top w:val="single" w:sz="4" w:space="0" w:color="auto"/>
              <w:bottom w:val="single" w:sz="4" w:space="0" w:color="auto"/>
            </w:tcBorders>
          </w:tcPr>
          <w:p w14:paraId="6EA29867" w14:textId="77777777" w:rsidR="00A94A10" w:rsidRPr="00915CC9" w:rsidRDefault="00A94A10" w:rsidP="00BE68EC">
            <w:pPr>
              <w:rPr>
                <w:b/>
                <w:bCs/>
                <w:sz w:val="20"/>
                <w:szCs w:val="20"/>
              </w:rPr>
            </w:pPr>
          </w:p>
        </w:tc>
        <w:tc>
          <w:tcPr>
            <w:tcW w:w="3757" w:type="dxa"/>
            <w:gridSpan w:val="2"/>
            <w:tcBorders>
              <w:top w:val="single" w:sz="4" w:space="0" w:color="auto"/>
              <w:bottom w:val="single" w:sz="4" w:space="0" w:color="auto"/>
              <w:right w:val="single" w:sz="4" w:space="0" w:color="auto"/>
            </w:tcBorders>
            <w:vAlign w:val="center"/>
          </w:tcPr>
          <w:p w14:paraId="6EBD9C61" w14:textId="77777777" w:rsidR="00A94A10" w:rsidRPr="00146C98" w:rsidRDefault="00A94A10" w:rsidP="00BE68EC">
            <w:pPr>
              <w:jc w:val="center"/>
              <w:rPr>
                <w:sz w:val="20"/>
                <w:szCs w:val="20"/>
              </w:rPr>
            </w:pPr>
            <w:r w:rsidRPr="00146C98">
              <w:rPr>
                <w:sz w:val="20"/>
                <w:szCs w:val="20"/>
              </w:rPr>
              <w:t>Often/always lonely</w:t>
            </w:r>
          </w:p>
        </w:tc>
        <w:tc>
          <w:tcPr>
            <w:tcW w:w="3117" w:type="dxa"/>
            <w:gridSpan w:val="2"/>
            <w:tcBorders>
              <w:top w:val="single" w:sz="4" w:space="0" w:color="auto"/>
              <w:left w:val="single" w:sz="4" w:space="0" w:color="auto"/>
              <w:bottom w:val="single" w:sz="4" w:space="0" w:color="auto"/>
            </w:tcBorders>
            <w:vAlign w:val="center"/>
          </w:tcPr>
          <w:p w14:paraId="7B2523E7" w14:textId="77777777" w:rsidR="00A94A10" w:rsidRPr="00146C98" w:rsidRDefault="00A94A10" w:rsidP="00BE68EC">
            <w:pPr>
              <w:jc w:val="center"/>
              <w:rPr>
                <w:sz w:val="20"/>
                <w:szCs w:val="20"/>
              </w:rPr>
            </w:pPr>
            <w:r w:rsidRPr="00146C98">
              <w:rPr>
                <w:sz w:val="20"/>
                <w:szCs w:val="20"/>
              </w:rPr>
              <w:t>Sometimes/often/always lonely</w:t>
            </w:r>
          </w:p>
        </w:tc>
        <w:tc>
          <w:tcPr>
            <w:tcW w:w="239" w:type="dxa"/>
            <w:tcBorders>
              <w:top w:val="single" w:sz="4" w:space="0" w:color="auto"/>
              <w:bottom w:val="single" w:sz="4" w:space="0" w:color="auto"/>
            </w:tcBorders>
          </w:tcPr>
          <w:p w14:paraId="5ADF600F" w14:textId="77777777" w:rsidR="00A94A10" w:rsidRDefault="00A94A10" w:rsidP="00BE68EC">
            <w:pPr>
              <w:jc w:val="center"/>
              <w:rPr>
                <w:b/>
                <w:bCs/>
                <w:sz w:val="20"/>
                <w:szCs w:val="20"/>
              </w:rPr>
            </w:pPr>
          </w:p>
        </w:tc>
      </w:tr>
      <w:tr w:rsidR="00A94A10" w:rsidRPr="00636169" w14:paraId="0D233054" w14:textId="77777777" w:rsidTr="00BE68EC">
        <w:trPr>
          <w:gridAfter w:val="1"/>
          <w:wAfter w:w="1560" w:type="dxa"/>
        </w:trPr>
        <w:tc>
          <w:tcPr>
            <w:tcW w:w="1913" w:type="dxa"/>
            <w:tcBorders>
              <w:top w:val="single" w:sz="4" w:space="0" w:color="auto"/>
              <w:bottom w:val="single" w:sz="4" w:space="0" w:color="auto"/>
            </w:tcBorders>
          </w:tcPr>
          <w:p w14:paraId="12528920" w14:textId="77777777" w:rsidR="00A94A10" w:rsidRPr="00915CC9" w:rsidRDefault="00A94A10" w:rsidP="00BE68EC">
            <w:pPr>
              <w:rPr>
                <w:b/>
                <w:bCs/>
                <w:sz w:val="20"/>
                <w:szCs w:val="20"/>
              </w:rPr>
            </w:pPr>
          </w:p>
        </w:tc>
        <w:tc>
          <w:tcPr>
            <w:tcW w:w="1773" w:type="dxa"/>
            <w:tcBorders>
              <w:top w:val="single" w:sz="4" w:space="0" w:color="auto"/>
              <w:bottom w:val="single" w:sz="4" w:space="0" w:color="auto"/>
            </w:tcBorders>
            <w:vAlign w:val="center"/>
          </w:tcPr>
          <w:p w14:paraId="036344B4" w14:textId="77777777" w:rsidR="00A94A10" w:rsidRPr="000E2F76" w:rsidRDefault="00A94A10" w:rsidP="00BE68EC">
            <w:pPr>
              <w:jc w:val="center"/>
              <w:rPr>
                <w:sz w:val="16"/>
                <w:szCs w:val="16"/>
              </w:rPr>
            </w:pPr>
            <w:r w:rsidRPr="000E2F76">
              <w:rPr>
                <w:sz w:val="16"/>
                <w:szCs w:val="16"/>
              </w:rPr>
              <w:t>(1)</w:t>
            </w:r>
          </w:p>
        </w:tc>
        <w:tc>
          <w:tcPr>
            <w:tcW w:w="1984" w:type="dxa"/>
            <w:tcBorders>
              <w:top w:val="single" w:sz="4" w:space="0" w:color="auto"/>
              <w:bottom w:val="single" w:sz="4" w:space="0" w:color="auto"/>
              <w:right w:val="single" w:sz="4" w:space="0" w:color="auto"/>
            </w:tcBorders>
            <w:vAlign w:val="center"/>
          </w:tcPr>
          <w:p w14:paraId="124F6A16" w14:textId="77777777" w:rsidR="00A94A10" w:rsidRPr="000E2F76" w:rsidRDefault="00A94A10" w:rsidP="00BE68EC">
            <w:pPr>
              <w:jc w:val="center"/>
              <w:rPr>
                <w:sz w:val="16"/>
                <w:szCs w:val="16"/>
              </w:rPr>
            </w:pPr>
            <w:r w:rsidRPr="000E2F76">
              <w:rPr>
                <w:sz w:val="16"/>
                <w:szCs w:val="16"/>
              </w:rPr>
              <w:t>(2)</w:t>
            </w:r>
          </w:p>
        </w:tc>
        <w:tc>
          <w:tcPr>
            <w:tcW w:w="1560" w:type="dxa"/>
            <w:tcBorders>
              <w:top w:val="single" w:sz="4" w:space="0" w:color="auto"/>
              <w:left w:val="single" w:sz="4" w:space="0" w:color="auto"/>
              <w:bottom w:val="single" w:sz="4" w:space="0" w:color="auto"/>
            </w:tcBorders>
            <w:vAlign w:val="center"/>
          </w:tcPr>
          <w:p w14:paraId="0BA5866B" w14:textId="77777777" w:rsidR="00A94A10" w:rsidRPr="000E2F76" w:rsidRDefault="00A94A10" w:rsidP="00BE68EC">
            <w:pPr>
              <w:jc w:val="center"/>
              <w:rPr>
                <w:sz w:val="16"/>
                <w:szCs w:val="16"/>
              </w:rPr>
            </w:pPr>
            <w:r w:rsidRPr="000E2F76">
              <w:rPr>
                <w:sz w:val="16"/>
                <w:szCs w:val="16"/>
              </w:rPr>
              <w:t>(1)</w:t>
            </w:r>
          </w:p>
        </w:tc>
        <w:tc>
          <w:tcPr>
            <w:tcW w:w="1557" w:type="dxa"/>
            <w:tcBorders>
              <w:top w:val="single" w:sz="4" w:space="0" w:color="auto"/>
              <w:bottom w:val="single" w:sz="4" w:space="0" w:color="auto"/>
            </w:tcBorders>
            <w:vAlign w:val="center"/>
          </w:tcPr>
          <w:p w14:paraId="682261BA" w14:textId="77777777" w:rsidR="00A94A10" w:rsidRPr="000E2F76" w:rsidRDefault="00A94A10" w:rsidP="00BE68EC">
            <w:pPr>
              <w:jc w:val="center"/>
              <w:rPr>
                <w:sz w:val="16"/>
                <w:szCs w:val="16"/>
              </w:rPr>
            </w:pPr>
            <w:r w:rsidRPr="000E2F76">
              <w:rPr>
                <w:sz w:val="16"/>
                <w:szCs w:val="16"/>
              </w:rPr>
              <w:t>(2)</w:t>
            </w:r>
          </w:p>
        </w:tc>
        <w:tc>
          <w:tcPr>
            <w:tcW w:w="239" w:type="dxa"/>
            <w:tcBorders>
              <w:top w:val="single" w:sz="4" w:space="0" w:color="auto"/>
              <w:bottom w:val="single" w:sz="4" w:space="0" w:color="auto"/>
            </w:tcBorders>
            <w:vAlign w:val="center"/>
          </w:tcPr>
          <w:p w14:paraId="0A0C18E1" w14:textId="77777777" w:rsidR="00A94A10" w:rsidRPr="00636169" w:rsidRDefault="00A94A10" w:rsidP="00BE68EC">
            <w:pPr>
              <w:jc w:val="center"/>
              <w:rPr>
                <w:b/>
                <w:bCs/>
                <w:sz w:val="20"/>
                <w:szCs w:val="20"/>
              </w:rPr>
            </w:pPr>
          </w:p>
        </w:tc>
      </w:tr>
      <w:tr w:rsidR="00A94A10" w:rsidRPr="00636169" w14:paraId="0D39B99B" w14:textId="77777777" w:rsidTr="00C30043">
        <w:trPr>
          <w:gridAfter w:val="1"/>
          <w:wAfter w:w="1560" w:type="dxa"/>
        </w:trPr>
        <w:tc>
          <w:tcPr>
            <w:tcW w:w="1913" w:type="dxa"/>
            <w:tcBorders>
              <w:top w:val="single" w:sz="4" w:space="0" w:color="auto"/>
              <w:bottom w:val="nil"/>
            </w:tcBorders>
            <w:vAlign w:val="center"/>
          </w:tcPr>
          <w:p w14:paraId="1A01D006" w14:textId="77777777" w:rsidR="00A94A10" w:rsidRPr="009C7364" w:rsidRDefault="00A94A10" w:rsidP="00BE68EC">
            <w:pPr>
              <w:rPr>
                <w:b/>
                <w:bCs/>
                <w:sz w:val="15"/>
                <w:szCs w:val="15"/>
              </w:rPr>
            </w:pPr>
            <w:r w:rsidRPr="009C7364">
              <w:rPr>
                <w:sz w:val="15"/>
                <w:szCs w:val="15"/>
              </w:rPr>
              <w:t>Female</w:t>
            </w:r>
          </w:p>
        </w:tc>
        <w:tc>
          <w:tcPr>
            <w:tcW w:w="1773" w:type="dxa"/>
            <w:tcBorders>
              <w:top w:val="single" w:sz="4" w:space="0" w:color="auto"/>
              <w:bottom w:val="nil"/>
            </w:tcBorders>
            <w:shd w:val="clear" w:color="auto" w:fill="F1A983" w:themeFill="accent2" w:themeFillTint="99"/>
            <w:vAlign w:val="center"/>
          </w:tcPr>
          <w:p w14:paraId="529630EC" w14:textId="71331C24" w:rsidR="00A94A10" w:rsidRDefault="00A94A10" w:rsidP="00BE68EC">
            <w:pPr>
              <w:jc w:val="center"/>
              <w:rPr>
                <w:sz w:val="15"/>
                <w:szCs w:val="15"/>
              </w:rPr>
            </w:pPr>
            <w:r>
              <w:rPr>
                <w:sz w:val="15"/>
                <w:szCs w:val="15"/>
              </w:rPr>
              <w:t>0.0</w:t>
            </w:r>
            <w:r w:rsidR="00E713D1">
              <w:rPr>
                <w:sz w:val="15"/>
                <w:szCs w:val="15"/>
              </w:rPr>
              <w:t>21</w:t>
            </w:r>
            <w:r>
              <w:rPr>
                <w:sz w:val="15"/>
                <w:szCs w:val="15"/>
              </w:rPr>
              <w:t>***</w:t>
            </w:r>
          </w:p>
          <w:p w14:paraId="66DFB728" w14:textId="2EA3085C" w:rsidR="00A94A10" w:rsidRPr="009C7364" w:rsidRDefault="00A94A10" w:rsidP="00BE68EC">
            <w:pPr>
              <w:jc w:val="center"/>
              <w:rPr>
                <w:sz w:val="15"/>
                <w:szCs w:val="15"/>
              </w:rPr>
            </w:pPr>
            <w:r>
              <w:rPr>
                <w:sz w:val="15"/>
                <w:szCs w:val="15"/>
              </w:rPr>
              <w:t>(0.00</w:t>
            </w:r>
            <w:r w:rsidR="003F2BA9">
              <w:rPr>
                <w:sz w:val="15"/>
                <w:szCs w:val="15"/>
              </w:rPr>
              <w:t>5</w:t>
            </w:r>
            <w:r>
              <w:rPr>
                <w:sz w:val="15"/>
                <w:szCs w:val="15"/>
              </w:rPr>
              <w:t>)</w:t>
            </w:r>
          </w:p>
        </w:tc>
        <w:tc>
          <w:tcPr>
            <w:tcW w:w="1984" w:type="dxa"/>
            <w:tcBorders>
              <w:top w:val="single" w:sz="4" w:space="0" w:color="auto"/>
              <w:bottom w:val="nil"/>
              <w:right w:val="single" w:sz="4" w:space="0" w:color="auto"/>
            </w:tcBorders>
            <w:shd w:val="clear" w:color="auto" w:fill="F1A983" w:themeFill="accent2" w:themeFillTint="99"/>
            <w:vAlign w:val="center"/>
          </w:tcPr>
          <w:p w14:paraId="2F82692D" w14:textId="69832CDA" w:rsidR="00A94A10" w:rsidRDefault="00A94A10" w:rsidP="00BE68EC">
            <w:pPr>
              <w:jc w:val="center"/>
              <w:rPr>
                <w:sz w:val="15"/>
                <w:szCs w:val="15"/>
              </w:rPr>
            </w:pPr>
            <w:r>
              <w:rPr>
                <w:sz w:val="15"/>
                <w:szCs w:val="15"/>
              </w:rPr>
              <w:t>0.01</w:t>
            </w:r>
            <w:r w:rsidR="00D06011">
              <w:rPr>
                <w:sz w:val="15"/>
                <w:szCs w:val="15"/>
              </w:rPr>
              <w:t>2</w:t>
            </w:r>
            <w:r>
              <w:rPr>
                <w:sz w:val="15"/>
                <w:szCs w:val="15"/>
              </w:rPr>
              <w:t>**</w:t>
            </w:r>
          </w:p>
          <w:p w14:paraId="3909AF8D" w14:textId="406D20D4" w:rsidR="00A94A10" w:rsidRPr="00636169" w:rsidRDefault="00A94A10" w:rsidP="00BE68EC">
            <w:pPr>
              <w:jc w:val="center"/>
              <w:rPr>
                <w:sz w:val="15"/>
                <w:szCs w:val="15"/>
              </w:rPr>
            </w:pPr>
            <w:r>
              <w:rPr>
                <w:sz w:val="15"/>
                <w:szCs w:val="15"/>
              </w:rPr>
              <w:t>(0.00</w:t>
            </w:r>
            <w:r w:rsidR="00D06011">
              <w:rPr>
                <w:sz w:val="15"/>
                <w:szCs w:val="15"/>
              </w:rPr>
              <w:t>5</w:t>
            </w:r>
            <w:r>
              <w:rPr>
                <w:sz w:val="15"/>
                <w:szCs w:val="15"/>
              </w:rPr>
              <w:t>)</w:t>
            </w:r>
          </w:p>
        </w:tc>
        <w:tc>
          <w:tcPr>
            <w:tcW w:w="1560" w:type="dxa"/>
            <w:tcBorders>
              <w:top w:val="single" w:sz="4" w:space="0" w:color="auto"/>
              <w:left w:val="single" w:sz="4" w:space="0" w:color="auto"/>
              <w:bottom w:val="nil"/>
            </w:tcBorders>
            <w:shd w:val="clear" w:color="auto" w:fill="F1A983" w:themeFill="accent2" w:themeFillTint="99"/>
            <w:vAlign w:val="center"/>
          </w:tcPr>
          <w:p w14:paraId="43A083A6" w14:textId="64F0CEF7" w:rsidR="00A94A10" w:rsidRDefault="00A94A10" w:rsidP="00BE68EC">
            <w:pPr>
              <w:jc w:val="center"/>
              <w:rPr>
                <w:sz w:val="15"/>
                <w:szCs w:val="15"/>
              </w:rPr>
            </w:pPr>
            <w:r>
              <w:rPr>
                <w:sz w:val="15"/>
                <w:szCs w:val="15"/>
              </w:rPr>
              <w:t>0.04</w:t>
            </w:r>
            <w:r w:rsidR="00207E8E">
              <w:rPr>
                <w:sz w:val="15"/>
                <w:szCs w:val="15"/>
              </w:rPr>
              <w:t>9</w:t>
            </w:r>
            <w:r>
              <w:rPr>
                <w:sz w:val="15"/>
                <w:szCs w:val="15"/>
              </w:rPr>
              <w:t>***</w:t>
            </w:r>
          </w:p>
          <w:p w14:paraId="7FE73F75" w14:textId="4BA7DFD9" w:rsidR="00A94A10" w:rsidRPr="00636169" w:rsidRDefault="00A94A10" w:rsidP="00BE68EC">
            <w:pPr>
              <w:jc w:val="center"/>
              <w:rPr>
                <w:sz w:val="15"/>
                <w:szCs w:val="15"/>
              </w:rPr>
            </w:pPr>
            <w:r>
              <w:rPr>
                <w:sz w:val="15"/>
                <w:szCs w:val="15"/>
              </w:rPr>
              <w:t>(0.00</w:t>
            </w:r>
            <w:r w:rsidR="00D503B7">
              <w:rPr>
                <w:sz w:val="15"/>
                <w:szCs w:val="15"/>
              </w:rPr>
              <w:t>8</w:t>
            </w:r>
            <w:r>
              <w:rPr>
                <w:sz w:val="15"/>
                <w:szCs w:val="15"/>
              </w:rPr>
              <w:t>)</w:t>
            </w:r>
          </w:p>
        </w:tc>
        <w:tc>
          <w:tcPr>
            <w:tcW w:w="1557" w:type="dxa"/>
            <w:tcBorders>
              <w:top w:val="single" w:sz="4" w:space="0" w:color="auto"/>
              <w:bottom w:val="nil"/>
            </w:tcBorders>
            <w:shd w:val="clear" w:color="auto" w:fill="F1A983" w:themeFill="accent2" w:themeFillTint="99"/>
            <w:vAlign w:val="center"/>
          </w:tcPr>
          <w:p w14:paraId="657A68A2" w14:textId="2FB49470" w:rsidR="00A94A10" w:rsidRDefault="00A94A10" w:rsidP="00BE68EC">
            <w:pPr>
              <w:jc w:val="center"/>
              <w:rPr>
                <w:sz w:val="15"/>
                <w:szCs w:val="15"/>
              </w:rPr>
            </w:pPr>
            <w:r>
              <w:rPr>
                <w:sz w:val="15"/>
                <w:szCs w:val="15"/>
              </w:rPr>
              <w:t>0.03</w:t>
            </w:r>
            <w:r w:rsidR="00960C98">
              <w:rPr>
                <w:sz w:val="15"/>
                <w:szCs w:val="15"/>
              </w:rPr>
              <w:t>3</w:t>
            </w:r>
            <w:r>
              <w:rPr>
                <w:sz w:val="15"/>
                <w:szCs w:val="15"/>
              </w:rPr>
              <w:t>***</w:t>
            </w:r>
          </w:p>
          <w:p w14:paraId="240CF5E1" w14:textId="0C594217" w:rsidR="00A94A10" w:rsidRPr="00636169" w:rsidRDefault="00A94A10" w:rsidP="00BE68EC">
            <w:pPr>
              <w:jc w:val="center"/>
              <w:rPr>
                <w:sz w:val="15"/>
                <w:szCs w:val="15"/>
              </w:rPr>
            </w:pPr>
            <w:r>
              <w:rPr>
                <w:sz w:val="15"/>
                <w:szCs w:val="15"/>
              </w:rPr>
              <w:t>(0.00</w:t>
            </w:r>
            <w:r w:rsidR="00960C98">
              <w:rPr>
                <w:sz w:val="15"/>
                <w:szCs w:val="15"/>
              </w:rPr>
              <w:t>8</w:t>
            </w:r>
            <w:r>
              <w:rPr>
                <w:sz w:val="15"/>
                <w:szCs w:val="15"/>
              </w:rPr>
              <w:t>)</w:t>
            </w:r>
          </w:p>
        </w:tc>
        <w:tc>
          <w:tcPr>
            <w:tcW w:w="239" w:type="dxa"/>
            <w:tcBorders>
              <w:top w:val="single" w:sz="4" w:space="0" w:color="auto"/>
              <w:bottom w:val="nil"/>
            </w:tcBorders>
          </w:tcPr>
          <w:p w14:paraId="20418937" w14:textId="77777777" w:rsidR="00A94A10" w:rsidRPr="00636169" w:rsidRDefault="00A94A10" w:rsidP="00BE68EC">
            <w:pPr>
              <w:jc w:val="center"/>
              <w:rPr>
                <w:sz w:val="16"/>
                <w:szCs w:val="16"/>
              </w:rPr>
            </w:pPr>
          </w:p>
        </w:tc>
      </w:tr>
      <w:tr w:rsidR="00A94A10" w:rsidRPr="00636169" w14:paraId="1631C05D" w14:textId="77777777" w:rsidTr="00BE68EC">
        <w:trPr>
          <w:gridAfter w:val="1"/>
          <w:wAfter w:w="1560" w:type="dxa"/>
        </w:trPr>
        <w:tc>
          <w:tcPr>
            <w:tcW w:w="3686" w:type="dxa"/>
            <w:gridSpan w:val="2"/>
            <w:tcBorders>
              <w:top w:val="nil"/>
            </w:tcBorders>
            <w:vAlign w:val="center"/>
          </w:tcPr>
          <w:p w14:paraId="7A9232BE" w14:textId="77777777" w:rsidR="00A94A10" w:rsidRPr="009C7364" w:rsidRDefault="00A94A10" w:rsidP="00BE68EC">
            <w:pPr>
              <w:rPr>
                <w:sz w:val="15"/>
                <w:szCs w:val="15"/>
              </w:rPr>
            </w:pPr>
            <w:r w:rsidRPr="00636169">
              <w:rPr>
                <w:i/>
                <w:iCs/>
                <w:sz w:val="15"/>
                <w:szCs w:val="15"/>
              </w:rPr>
              <w:t>Age category (Ref: 15-29 years)</w:t>
            </w:r>
          </w:p>
        </w:tc>
        <w:tc>
          <w:tcPr>
            <w:tcW w:w="1984" w:type="dxa"/>
            <w:tcBorders>
              <w:top w:val="nil"/>
              <w:right w:val="single" w:sz="4" w:space="0" w:color="auto"/>
            </w:tcBorders>
            <w:vAlign w:val="center"/>
          </w:tcPr>
          <w:p w14:paraId="55B18F25" w14:textId="77777777" w:rsidR="00A94A10" w:rsidRPr="00636169" w:rsidRDefault="00A94A10" w:rsidP="00BE68EC">
            <w:pPr>
              <w:jc w:val="center"/>
              <w:rPr>
                <w:sz w:val="15"/>
                <w:szCs w:val="15"/>
              </w:rPr>
            </w:pPr>
          </w:p>
        </w:tc>
        <w:tc>
          <w:tcPr>
            <w:tcW w:w="1560" w:type="dxa"/>
            <w:tcBorders>
              <w:top w:val="nil"/>
              <w:left w:val="single" w:sz="4" w:space="0" w:color="auto"/>
            </w:tcBorders>
            <w:vAlign w:val="center"/>
          </w:tcPr>
          <w:p w14:paraId="17CD5C7B" w14:textId="77777777" w:rsidR="00A94A10" w:rsidRPr="00636169" w:rsidRDefault="00A94A10" w:rsidP="00BE68EC">
            <w:pPr>
              <w:jc w:val="center"/>
              <w:rPr>
                <w:sz w:val="15"/>
                <w:szCs w:val="15"/>
              </w:rPr>
            </w:pPr>
          </w:p>
        </w:tc>
        <w:tc>
          <w:tcPr>
            <w:tcW w:w="1557" w:type="dxa"/>
            <w:tcBorders>
              <w:top w:val="nil"/>
            </w:tcBorders>
            <w:vAlign w:val="center"/>
          </w:tcPr>
          <w:p w14:paraId="3C618C96" w14:textId="77777777" w:rsidR="00A94A10" w:rsidRDefault="00A94A10" w:rsidP="00BE68EC">
            <w:pPr>
              <w:jc w:val="center"/>
              <w:rPr>
                <w:sz w:val="15"/>
                <w:szCs w:val="15"/>
              </w:rPr>
            </w:pPr>
          </w:p>
        </w:tc>
        <w:tc>
          <w:tcPr>
            <w:tcW w:w="239" w:type="dxa"/>
            <w:tcBorders>
              <w:top w:val="nil"/>
            </w:tcBorders>
          </w:tcPr>
          <w:p w14:paraId="055B2F49" w14:textId="77777777" w:rsidR="00A94A10" w:rsidRPr="00636169" w:rsidRDefault="00A94A10" w:rsidP="00BE68EC">
            <w:pPr>
              <w:jc w:val="center"/>
              <w:rPr>
                <w:sz w:val="16"/>
                <w:szCs w:val="16"/>
              </w:rPr>
            </w:pPr>
          </w:p>
        </w:tc>
      </w:tr>
      <w:tr w:rsidR="00A94A10" w:rsidRPr="00636169" w14:paraId="41DDACD9" w14:textId="77777777" w:rsidTr="00BE68EC">
        <w:trPr>
          <w:gridAfter w:val="1"/>
          <w:wAfter w:w="1560" w:type="dxa"/>
        </w:trPr>
        <w:tc>
          <w:tcPr>
            <w:tcW w:w="1913" w:type="dxa"/>
            <w:vAlign w:val="center"/>
          </w:tcPr>
          <w:p w14:paraId="0DAD7625" w14:textId="77777777" w:rsidR="00A94A10" w:rsidRPr="009C7364" w:rsidRDefault="00A94A10" w:rsidP="00BE68EC">
            <w:pPr>
              <w:rPr>
                <w:b/>
                <w:bCs/>
                <w:sz w:val="15"/>
                <w:szCs w:val="15"/>
              </w:rPr>
            </w:pPr>
            <w:r w:rsidRPr="009C7364">
              <w:rPr>
                <w:sz w:val="15"/>
                <w:szCs w:val="15"/>
              </w:rPr>
              <w:t xml:space="preserve"> 30-49</w:t>
            </w:r>
          </w:p>
        </w:tc>
        <w:tc>
          <w:tcPr>
            <w:tcW w:w="1773" w:type="dxa"/>
            <w:vAlign w:val="center"/>
          </w:tcPr>
          <w:p w14:paraId="529A326C" w14:textId="2FD04E53" w:rsidR="00A94A10" w:rsidRDefault="00A94A10" w:rsidP="00BE68EC">
            <w:pPr>
              <w:jc w:val="center"/>
              <w:rPr>
                <w:sz w:val="15"/>
                <w:szCs w:val="15"/>
              </w:rPr>
            </w:pPr>
            <w:r>
              <w:rPr>
                <w:sz w:val="15"/>
                <w:szCs w:val="15"/>
              </w:rPr>
              <w:t>-0.0</w:t>
            </w:r>
            <w:r w:rsidR="003F2BA9">
              <w:rPr>
                <w:sz w:val="15"/>
                <w:szCs w:val="15"/>
              </w:rPr>
              <w:t>13</w:t>
            </w:r>
          </w:p>
          <w:p w14:paraId="008D2FEE" w14:textId="391C934D" w:rsidR="00A94A10" w:rsidRPr="009C7364" w:rsidRDefault="00A94A10" w:rsidP="00BE68EC">
            <w:pPr>
              <w:jc w:val="center"/>
              <w:rPr>
                <w:sz w:val="15"/>
                <w:szCs w:val="15"/>
              </w:rPr>
            </w:pPr>
            <w:r>
              <w:rPr>
                <w:sz w:val="15"/>
                <w:szCs w:val="15"/>
              </w:rPr>
              <w:t>(0.00</w:t>
            </w:r>
            <w:r w:rsidR="003F2BA9">
              <w:rPr>
                <w:sz w:val="15"/>
                <w:szCs w:val="15"/>
              </w:rPr>
              <w:t>8</w:t>
            </w:r>
            <w:r>
              <w:rPr>
                <w:sz w:val="15"/>
                <w:szCs w:val="15"/>
              </w:rPr>
              <w:t>)</w:t>
            </w:r>
          </w:p>
        </w:tc>
        <w:tc>
          <w:tcPr>
            <w:tcW w:w="1984" w:type="dxa"/>
            <w:tcBorders>
              <w:right w:val="single" w:sz="4" w:space="0" w:color="auto"/>
            </w:tcBorders>
            <w:vAlign w:val="center"/>
          </w:tcPr>
          <w:p w14:paraId="43747702" w14:textId="74D86630" w:rsidR="00A94A10" w:rsidRDefault="00A94A10" w:rsidP="00BE68EC">
            <w:pPr>
              <w:jc w:val="center"/>
              <w:rPr>
                <w:sz w:val="15"/>
                <w:szCs w:val="15"/>
              </w:rPr>
            </w:pPr>
            <w:r>
              <w:rPr>
                <w:sz w:val="15"/>
                <w:szCs w:val="15"/>
              </w:rPr>
              <w:t>-0.0</w:t>
            </w:r>
            <w:r w:rsidR="00D06011">
              <w:rPr>
                <w:sz w:val="15"/>
                <w:szCs w:val="15"/>
              </w:rPr>
              <w:t>10</w:t>
            </w:r>
          </w:p>
          <w:p w14:paraId="66064E62" w14:textId="2CF94FD4" w:rsidR="00A94A10" w:rsidRPr="006A01DA" w:rsidRDefault="00A94A10" w:rsidP="00BE68EC">
            <w:pPr>
              <w:jc w:val="center"/>
              <w:rPr>
                <w:sz w:val="15"/>
                <w:szCs w:val="15"/>
              </w:rPr>
            </w:pPr>
            <w:r>
              <w:rPr>
                <w:sz w:val="15"/>
                <w:szCs w:val="15"/>
              </w:rPr>
              <w:t>(0.00</w:t>
            </w:r>
            <w:r w:rsidR="000B5151">
              <w:rPr>
                <w:sz w:val="15"/>
                <w:szCs w:val="15"/>
              </w:rPr>
              <w:t>7</w:t>
            </w:r>
            <w:r>
              <w:rPr>
                <w:sz w:val="15"/>
                <w:szCs w:val="15"/>
              </w:rPr>
              <w:t>)</w:t>
            </w:r>
          </w:p>
        </w:tc>
        <w:tc>
          <w:tcPr>
            <w:tcW w:w="1560" w:type="dxa"/>
            <w:tcBorders>
              <w:left w:val="single" w:sz="4" w:space="0" w:color="auto"/>
            </w:tcBorders>
            <w:vAlign w:val="center"/>
          </w:tcPr>
          <w:p w14:paraId="1AF9F5EC" w14:textId="7EE6DCA3" w:rsidR="00A94A10" w:rsidRPr="00884354" w:rsidRDefault="00A94A10" w:rsidP="00BE68EC">
            <w:pPr>
              <w:jc w:val="center"/>
              <w:rPr>
                <w:sz w:val="15"/>
                <w:szCs w:val="15"/>
                <w:vertAlign w:val="superscript"/>
              </w:rPr>
            </w:pPr>
            <w:r>
              <w:rPr>
                <w:sz w:val="15"/>
                <w:szCs w:val="15"/>
              </w:rPr>
              <w:t>-0.02</w:t>
            </w:r>
            <w:r w:rsidR="00D503B7">
              <w:rPr>
                <w:sz w:val="15"/>
                <w:szCs w:val="15"/>
              </w:rPr>
              <w:t>5</w:t>
            </w:r>
            <w:r>
              <w:rPr>
                <w:sz w:val="15"/>
                <w:szCs w:val="15"/>
                <w:vertAlign w:val="superscript"/>
              </w:rPr>
              <w:t>+</w:t>
            </w:r>
          </w:p>
          <w:p w14:paraId="025C1CEE" w14:textId="3FB1771A" w:rsidR="00A94A10" w:rsidRPr="006A01DA" w:rsidRDefault="00A94A10" w:rsidP="00BE68EC">
            <w:pPr>
              <w:jc w:val="center"/>
              <w:rPr>
                <w:sz w:val="15"/>
                <w:szCs w:val="15"/>
              </w:rPr>
            </w:pPr>
            <w:r>
              <w:rPr>
                <w:sz w:val="15"/>
                <w:szCs w:val="15"/>
              </w:rPr>
              <w:t>(0.01</w:t>
            </w:r>
            <w:r w:rsidR="00D503B7">
              <w:rPr>
                <w:sz w:val="15"/>
                <w:szCs w:val="15"/>
              </w:rPr>
              <w:t>4</w:t>
            </w:r>
            <w:r>
              <w:rPr>
                <w:sz w:val="15"/>
                <w:szCs w:val="15"/>
              </w:rPr>
              <w:t>)</w:t>
            </w:r>
          </w:p>
        </w:tc>
        <w:tc>
          <w:tcPr>
            <w:tcW w:w="1557" w:type="dxa"/>
            <w:vAlign w:val="center"/>
          </w:tcPr>
          <w:p w14:paraId="22CE80CC" w14:textId="3C85D3DE" w:rsidR="00A94A10" w:rsidRPr="00CE17F2" w:rsidRDefault="00A94A10" w:rsidP="00BE68EC">
            <w:pPr>
              <w:jc w:val="center"/>
              <w:rPr>
                <w:sz w:val="15"/>
                <w:szCs w:val="15"/>
                <w:vertAlign w:val="superscript"/>
              </w:rPr>
            </w:pPr>
            <w:r>
              <w:rPr>
                <w:sz w:val="15"/>
                <w:szCs w:val="15"/>
              </w:rPr>
              <w:t>-0.0</w:t>
            </w:r>
            <w:r w:rsidR="00CE17F2">
              <w:rPr>
                <w:sz w:val="15"/>
                <w:szCs w:val="15"/>
              </w:rPr>
              <w:t>21</w:t>
            </w:r>
            <w:r w:rsidR="00CE17F2">
              <w:rPr>
                <w:sz w:val="15"/>
                <w:szCs w:val="15"/>
                <w:vertAlign w:val="superscript"/>
              </w:rPr>
              <w:t>+</w:t>
            </w:r>
          </w:p>
          <w:p w14:paraId="672FDDA3" w14:textId="3CD6538D" w:rsidR="00A94A10" w:rsidRPr="006A01DA" w:rsidRDefault="00A94A10" w:rsidP="00CE17F2">
            <w:pPr>
              <w:jc w:val="center"/>
              <w:rPr>
                <w:sz w:val="15"/>
                <w:szCs w:val="15"/>
              </w:rPr>
            </w:pPr>
            <w:r>
              <w:rPr>
                <w:sz w:val="15"/>
                <w:szCs w:val="15"/>
              </w:rPr>
              <w:t>(0.01</w:t>
            </w:r>
            <w:r w:rsidR="00CE17F2">
              <w:rPr>
                <w:sz w:val="15"/>
                <w:szCs w:val="15"/>
              </w:rPr>
              <w:t>3</w:t>
            </w:r>
            <w:r>
              <w:rPr>
                <w:sz w:val="15"/>
                <w:szCs w:val="15"/>
              </w:rPr>
              <w:t>)</w:t>
            </w:r>
          </w:p>
        </w:tc>
        <w:tc>
          <w:tcPr>
            <w:tcW w:w="239" w:type="dxa"/>
          </w:tcPr>
          <w:p w14:paraId="3256AAA8" w14:textId="77777777" w:rsidR="00A94A10" w:rsidRPr="00636169" w:rsidRDefault="00A94A10" w:rsidP="00BE68EC">
            <w:pPr>
              <w:jc w:val="center"/>
              <w:rPr>
                <w:sz w:val="16"/>
                <w:szCs w:val="16"/>
              </w:rPr>
            </w:pPr>
          </w:p>
        </w:tc>
      </w:tr>
      <w:tr w:rsidR="00A94A10" w:rsidRPr="00636169" w14:paraId="0F9C28BA" w14:textId="77777777" w:rsidTr="00C30043">
        <w:trPr>
          <w:gridAfter w:val="1"/>
          <w:wAfter w:w="1560" w:type="dxa"/>
        </w:trPr>
        <w:tc>
          <w:tcPr>
            <w:tcW w:w="1913" w:type="dxa"/>
            <w:vAlign w:val="center"/>
          </w:tcPr>
          <w:p w14:paraId="703CD50C" w14:textId="77777777" w:rsidR="00A94A10" w:rsidRPr="009C7364" w:rsidRDefault="00A94A10" w:rsidP="00BE68EC">
            <w:pPr>
              <w:rPr>
                <w:b/>
                <w:bCs/>
                <w:sz w:val="15"/>
                <w:szCs w:val="15"/>
              </w:rPr>
            </w:pPr>
            <w:r w:rsidRPr="009C7364">
              <w:rPr>
                <w:sz w:val="15"/>
                <w:szCs w:val="15"/>
              </w:rPr>
              <w:t xml:space="preserve"> 50-64</w:t>
            </w:r>
          </w:p>
        </w:tc>
        <w:tc>
          <w:tcPr>
            <w:tcW w:w="1773" w:type="dxa"/>
            <w:shd w:val="clear" w:color="auto" w:fill="D9F2D0" w:themeFill="accent6" w:themeFillTint="33"/>
            <w:vAlign w:val="center"/>
          </w:tcPr>
          <w:p w14:paraId="68C633DA" w14:textId="73DDB4C6" w:rsidR="00A94A10" w:rsidRDefault="00A94A10" w:rsidP="00BE68EC">
            <w:pPr>
              <w:jc w:val="center"/>
              <w:rPr>
                <w:sz w:val="15"/>
                <w:szCs w:val="15"/>
              </w:rPr>
            </w:pPr>
            <w:r>
              <w:rPr>
                <w:sz w:val="15"/>
                <w:szCs w:val="15"/>
              </w:rPr>
              <w:t>-0.</w:t>
            </w:r>
            <w:r w:rsidR="003F2BA9">
              <w:rPr>
                <w:sz w:val="15"/>
                <w:szCs w:val="15"/>
              </w:rPr>
              <w:t>026</w:t>
            </w:r>
            <w:r>
              <w:rPr>
                <w:sz w:val="15"/>
                <w:szCs w:val="15"/>
              </w:rPr>
              <w:t>**</w:t>
            </w:r>
          </w:p>
          <w:p w14:paraId="16C03433" w14:textId="41FC9AEE" w:rsidR="00A94A10" w:rsidRPr="009C7364" w:rsidRDefault="00A94A10" w:rsidP="00BE68EC">
            <w:pPr>
              <w:jc w:val="center"/>
              <w:rPr>
                <w:sz w:val="15"/>
                <w:szCs w:val="15"/>
              </w:rPr>
            </w:pPr>
            <w:r>
              <w:rPr>
                <w:sz w:val="15"/>
                <w:szCs w:val="15"/>
              </w:rPr>
              <w:t>(0.00</w:t>
            </w:r>
            <w:r w:rsidR="003F2BA9">
              <w:rPr>
                <w:sz w:val="15"/>
                <w:szCs w:val="15"/>
              </w:rPr>
              <w:t>9</w:t>
            </w:r>
            <w:r>
              <w:rPr>
                <w:sz w:val="15"/>
                <w:szCs w:val="15"/>
              </w:rPr>
              <w:t>)</w:t>
            </w:r>
          </w:p>
        </w:tc>
        <w:tc>
          <w:tcPr>
            <w:tcW w:w="1984" w:type="dxa"/>
            <w:tcBorders>
              <w:right w:val="single" w:sz="4" w:space="0" w:color="auto"/>
            </w:tcBorders>
            <w:shd w:val="clear" w:color="auto" w:fill="D9F2D0" w:themeFill="accent6" w:themeFillTint="33"/>
            <w:vAlign w:val="center"/>
          </w:tcPr>
          <w:p w14:paraId="669F419F" w14:textId="5F30913E" w:rsidR="00A94A10" w:rsidRPr="000B5151" w:rsidRDefault="00A94A10" w:rsidP="00BE68EC">
            <w:pPr>
              <w:jc w:val="center"/>
              <w:rPr>
                <w:sz w:val="15"/>
                <w:szCs w:val="15"/>
                <w:vertAlign w:val="superscript"/>
              </w:rPr>
            </w:pPr>
            <w:r>
              <w:rPr>
                <w:sz w:val="15"/>
                <w:szCs w:val="15"/>
              </w:rPr>
              <w:t>-0.0</w:t>
            </w:r>
            <w:r w:rsidR="000B5151">
              <w:rPr>
                <w:sz w:val="15"/>
                <w:szCs w:val="15"/>
              </w:rPr>
              <w:t>14</w:t>
            </w:r>
            <w:r w:rsidR="000B5151">
              <w:rPr>
                <w:sz w:val="15"/>
                <w:szCs w:val="15"/>
                <w:vertAlign w:val="superscript"/>
              </w:rPr>
              <w:t>+</w:t>
            </w:r>
          </w:p>
          <w:p w14:paraId="06A55A57" w14:textId="51665DFD" w:rsidR="00A94A10" w:rsidRPr="006A01DA" w:rsidRDefault="00A94A10" w:rsidP="00BE68EC">
            <w:pPr>
              <w:jc w:val="center"/>
              <w:rPr>
                <w:sz w:val="15"/>
                <w:szCs w:val="15"/>
              </w:rPr>
            </w:pPr>
            <w:r>
              <w:rPr>
                <w:sz w:val="15"/>
                <w:szCs w:val="15"/>
              </w:rPr>
              <w:t>(0.00</w:t>
            </w:r>
            <w:r w:rsidR="000B5151">
              <w:rPr>
                <w:sz w:val="15"/>
                <w:szCs w:val="15"/>
              </w:rPr>
              <w:t>8</w:t>
            </w:r>
            <w:r>
              <w:rPr>
                <w:sz w:val="15"/>
                <w:szCs w:val="15"/>
              </w:rPr>
              <w:t>)</w:t>
            </w:r>
          </w:p>
        </w:tc>
        <w:tc>
          <w:tcPr>
            <w:tcW w:w="1560" w:type="dxa"/>
            <w:tcBorders>
              <w:left w:val="single" w:sz="4" w:space="0" w:color="auto"/>
            </w:tcBorders>
            <w:shd w:val="clear" w:color="auto" w:fill="D9F2D0" w:themeFill="accent6" w:themeFillTint="33"/>
            <w:vAlign w:val="center"/>
          </w:tcPr>
          <w:p w14:paraId="10876C76" w14:textId="2244438A" w:rsidR="00A94A10" w:rsidRDefault="00A94A10" w:rsidP="00BE68EC">
            <w:pPr>
              <w:jc w:val="center"/>
              <w:rPr>
                <w:sz w:val="15"/>
                <w:szCs w:val="15"/>
              </w:rPr>
            </w:pPr>
            <w:r>
              <w:rPr>
                <w:sz w:val="15"/>
                <w:szCs w:val="15"/>
              </w:rPr>
              <w:t>-0.06</w:t>
            </w:r>
            <w:r w:rsidR="00500DD9">
              <w:rPr>
                <w:sz w:val="15"/>
                <w:szCs w:val="15"/>
              </w:rPr>
              <w:t>1</w:t>
            </w:r>
            <w:r>
              <w:rPr>
                <w:sz w:val="15"/>
                <w:szCs w:val="15"/>
              </w:rPr>
              <w:t>***</w:t>
            </w:r>
          </w:p>
          <w:p w14:paraId="3658AED4" w14:textId="395A5510" w:rsidR="00A94A10" w:rsidRPr="006A01DA" w:rsidRDefault="00A94A10" w:rsidP="00BE68EC">
            <w:pPr>
              <w:jc w:val="center"/>
              <w:rPr>
                <w:sz w:val="15"/>
                <w:szCs w:val="15"/>
              </w:rPr>
            </w:pPr>
            <w:r>
              <w:rPr>
                <w:sz w:val="15"/>
                <w:szCs w:val="15"/>
              </w:rPr>
              <w:t>(0.01</w:t>
            </w:r>
            <w:r w:rsidR="00500DD9">
              <w:rPr>
                <w:sz w:val="15"/>
                <w:szCs w:val="15"/>
              </w:rPr>
              <w:t>5</w:t>
            </w:r>
            <w:r>
              <w:rPr>
                <w:sz w:val="15"/>
                <w:szCs w:val="15"/>
              </w:rPr>
              <w:t>)</w:t>
            </w:r>
          </w:p>
        </w:tc>
        <w:tc>
          <w:tcPr>
            <w:tcW w:w="1557" w:type="dxa"/>
            <w:shd w:val="clear" w:color="auto" w:fill="D9F2D0" w:themeFill="accent6" w:themeFillTint="33"/>
            <w:vAlign w:val="center"/>
          </w:tcPr>
          <w:p w14:paraId="0337CB31" w14:textId="3F1DBEDD" w:rsidR="00A94A10" w:rsidRDefault="00A94A10" w:rsidP="00BE68EC">
            <w:pPr>
              <w:jc w:val="center"/>
              <w:rPr>
                <w:sz w:val="15"/>
                <w:szCs w:val="15"/>
              </w:rPr>
            </w:pPr>
            <w:r>
              <w:rPr>
                <w:sz w:val="15"/>
                <w:szCs w:val="15"/>
              </w:rPr>
              <w:t>-0.04</w:t>
            </w:r>
            <w:r w:rsidR="00CE17F2">
              <w:rPr>
                <w:sz w:val="15"/>
                <w:szCs w:val="15"/>
              </w:rPr>
              <w:t>2</w:t>
            </w:r>
            <w:r>
              <w:rPr>
                <w:sz w:val="15"/>
                <w:szCs w:val="15"/>
              </w:rPr>
              <w:t>**</w:t>
            </w:r>
          </w:p>
          <w:p w14:paraId="0E7AD7EB" w14:textId="7D79A78D" w:rsidR="00A94A10" w:rsidRPr="006A01DA" w:rsidRDefault="00A94A10" w:rsidP="00BE68EC">
            <w:pPr>
              <w:jc w:val="center"/>
              <w:rPr>
                <w:sz w:val="15"/>
                <w:szCs w:val="15"/>
              </w:rPr>
            </w:pPr>
            <w:r>
              <w:rPr>
                <w:sz w:val="15"/>
                <w:szCs w:val="15"/>
              </w:rPr>
              <w:t>(0.01</w:t>
            </w:r>
            <w:r w:rsidR="00CE17F2">
              <w:rPr>
                <w:sz w:val="15"/>
                <w:szCs w:val="15"/>
              </w:rPr>
              <w:t>4</w:t>
            </w:r>
            <w:r>
              <w:rPr>
                <w:sz w:val="15"/>
                <w:szCs w:val="15"/>
              </w:rPr>
              <w:t>)</w:t>
            </w:r>
          </w:p>
        </w:tc>
        <w:tc>
          <w:tcPr>
            <w:tcW w:w="239" w:type="dxa"/>
          </w:tcPr>
          <w:p w14:paraId="19B9FFEF" w14:textId="77777777" w:rsidR="00A94A10" w:rsidRPr="00636169" w:rsidRDefault="00A94A10" w:rsidP="00BE68EC">
            <w:pPr>
              <w:jc w:val="center"/>
              <w:rPr>
                <w:sz w:val="16"/>
                <w:szCs w:val="16"/>
              </w:rPr>
            </w:pPr>
          </w:p>
        </w:tc>
      </w:tr>
      <w:tr w:rsidR="00A94A10" w:rsidRPr="00636169" w14:paraId="43E4746A" w14:textId="77777777" w:rsidTr="00C30043">
        <w:trPr>
          <w:gridAfter w:val="1"/>
          <w:wAfter w:w="1560" w:type="dxa"/>
        </w:trPr>
        <w:tc>
          <w:tcPr>
            <w:tcW w:w="1913" w:type="dxa"/>
            <w:vAlign w:val="center"/>
          </w:tcPr>
          <w:p w14:paraId="74D3242F" w14:textId="77777777" w:rsidR="00A94A10" w:rsidRPr="009C7364" w:rsidRDefault="00A94A10" w:rsidP="00BE68EC">
            <w:pPr>
              <w:rPr>
                <w:b/>
                <w:bCs/>
                <w:sz w:val="15"/>
                <w:szCs w:val="15"/>
              </w:rPr>
            </w:pPr>
            <w:r w:rsidRPr="009C7364">
              <w:rPr>
                <w:sz w:val="15"/>
                <w:szCs w:val="15"/>
              </w:rPr>
              <w:t xml:space="preserve"> 65+</w:t>
            </w:r>
          </w:p>
        </w:tc>
        <w:tc>
          <w:tcPr>
            <w:tcW w:w="1773" w:type="dxa"/>
            <w:shd w:val="clear" w:color="auto" w:fill="D9F2D0" w:themeFill="accent6" w:themeFillTint="33"/>
            <w:vAlign w:val="center"/>
          </w:tcPr>
          <w:p w14:paraId="63201D40" w14:textId="274BF270" w:rsidR="00A94A10" w:rsidRDefault="00A94A10" w:rsidP="00BE68EC">
            <w:pPr>
              <w:jc w:val="center"/>
              <w:rPr>
                <w:sz w:val="15"/>
                <w:szCs w:val="15"/>
              </w:rPr>
            </w:pPr>
            <w:r>
              <w:rPr>
                <w:sz w:val="15"/>
                <w:szCs w:val="15"/>
              </w:rPr>
              <w:t>-0.02</w:t>
            </w:r>
            <w:r w:rsidR="005D131F">
              <w:rPr>
                <w:sz w:val="15"/>
                <w:szCs w:val="15"/>
              </w:rPr>
              <w:t>9**</w:t>
            </w:r>
          </w:p>
          <w:p w14:paraId="620F1BF4" w14:textId="14228193" w:rsidR="00A94A10" w:rsidRPr="009C7364" w:rsidRDefault="00A94A10" w:rsidP="00BE68EC">
            <w:pPr>
              <w:jc w:val="center"/>
              <w:rPr>
                <w:sz w:val="15"/>
                <w:szCs w:val="15"/>
              </w:rPr>
            </w:pPr>
            <w:r>
              <w:rPr>
                <w:sz w:val="15"/>
                <w:szCs w:val="15"/>
              </w:rPr>
              <w:t>(0.0</w:t>
            </w:r>
            <w:r w:rsidR="005D131F">
              <w:rPr>
                <w:sz w:val="15"/>
                <w:szCs w:val="15"/>
              </w:rPr>
              <w:t>10</w:t>
            </w:r>
            <w:r>
              <w:rPr>
                <w:sz w:val="15"/>
                <w:szCs w:val="15"/>
              </w:rPr>
              <w:t>)</w:t>
            </w:r>
          </w:p>
        </w:tc>
        <w:tc>
          <w:tcPr>
            <w:tcW w:w="1984" w:type="dxa"/>
            <w:tcBorders>
              <w:right w:val="single" w:sz="4" w:space="0" w:color="auto"/>
            </w:tcBorders>
            <w:shd w:val="clear" w:color="auto" w:fill="D9F2D0" w:themeFill="accent6" w:themeFillTint="33"/>
            <w:vAlign w:val="center"/>
          </w:tcPr>
          <w:p w14:paraId="78B05B92" w14:textId="069DA111" w:rsidR="00A94A10" w:rsidRDefault="00A94A10" w:rsidP="00BE68EC">
            <w:pPr>
              <w:jc w:val="center"/>
              <w:rPr>
                <w:sz w:val="15"/>
                <w:szCs w:val="15"/>
              </w:rPr>
            </w:pPr>
            <w:r>
              <w:rPr>
                <w:sz w:val="15"/>
                <w:szCs w:val="15"/>
              </w:rPr>
              <w:t>-0.00</w:t>
            </w:r>
            <w:r w:rsidR="000B5151">
              <w:rPr>
                <w:sz w:val="15"/>
                <w:szCs w:val="15"/>
              </w:rPr>
              <w:t>8</w:t>
            </w:r>
          </w:p>
          <w:p w14:paraId="20B5DA84" w14:textId="6289D043" w:rsidR="00A94A10" w:rsidRPr="006A01DA" w:rsidRDefault="00A94A10" w:rsidP="00BE68EC">
            <w:pPr>
              <w:jc w:val="center"/>
              <w:rPr>
                <w:sz w:val="15"/>
                <w:szCs w:val="15"/>
              </w:rPr>
            </w:pPr>
            <w:r>
              <w:rPr>
                <w:sz w:val="15"/>
                <w:szCs w:val="15"/>
              </w:rPr>
              <w:t>(0.0</w:t>
            </w:r>
            <w:r w:rsidR="000B5151">
              <w:rPr>
                <w:sz w:val="15"/>
                <w:szCs w:val="15"/>
              </w:rPr>
              <w:t>10</w:t>
            </w:r>
            <w:r>
              <w:rPr>
                <w:sz w:val="15"/>
                <w:szCs w:val="15"/>
              </w:rPr>
              <w:t>)</w:t>
            </w:r>
          </w:p>
        </w:tc>
        <w:tc>
          <w:tcPr>
            <w:tcW w:w="1560" w:type="dxa"/>
            <w:tcBorders>
              <w:left w:val="single" w:sz="4" w:space="0" w:color="auto"/>
            </w:tcBorders>
            <w:shd w:val="clear" w:color="auto" w:fill="D9F2D0" w:themeFill="accent6" w:themeFillTint="33"/>
            <w:vAlign w:val="center"/>
          </w:tcPr>
          <w:p w14:paraId="7B8CB1C5" w14:textId="552ACA30" w:rsidR="00A94A10" w:rsidRDefault="00A94A10" w:rsidP="00BE68EC">
            <w:pPr>
              <w:jc w:val="center"/>
              <w:rPr>
                <w:sz w:val="15"/>
                <w:szCs w:val="15"/>
              </w:rPr>
            </w:pPr>
            <w:r>
              <w:rPr>
                <w:sz w:val="15"/>
                <w:szCs w:val="15"/>
              </w:rPr>
              <w:t>-0.08</w:t>
            </w:r>
            <w:r w:rsidR="00500DD9">
              <w:rPr>
                <w:sz w:val="15"/>
                <w:szCs w:val="15"/>
              </w:rPr>
              <w:t>8</w:t>
            </w:r>
            <w:r>
              <w:rPr>
                <w:sz w:val="15"/>
                <w:szCs w:val="15"/>
              </w:rPr>
              <w:t>***</w:t>
            </w:r>
          </w:p>
          <w:p w14:paraId="5F8CDF21" w14:textId="15A81AE2" w:rsidR="00A94A10" w:rsidRPr="006A01DA" w:rsidRDefault="00A94A10" w:rsidP="00BE68EC">
            <w:pPr>
              <w:jc w:val="center"/>
              <w:rPr>
                <w:sz w:val="15"/>
                <w:szCs w:val="15"/>
              </w:rPr>
            </w:pPr>
            <w:r>
              <w:rPr>
                <w:sz w:val="15"/>
                <w:szCs w:val="15"/>
              </w:rPr>
              <w:t>(0.01</w:t>
            </w:r>
            <w:r w:rsidR="00500DD9">
              <w:rPr>
                <w:sz w:val="15"/>
                <w:szCs w:val="15"/>
              </w:rPr>
              <w:t>7</w:t>
            </w:r>
            <w:r>
              <w:rPr>
                <w:sz w:val="15"/>
                <w:szCs w:val="15"/>
              </w:rPr>
              <w:t>)</w:t>
            </w:r>
          </w:p>
        </w:tc>
        <w:tc>
          <w:tcPr>
            <w:tcW w:w="1557" w:type="dxa"/>
            <w:shd w:val="clear" w:color="auto" w:fill="D9F2D0" w:themeFill="accent6" w:themeFillTint="33"/>
            <w:vAlign w:val="center"/>
          </w:tcPr>
          <w:p w14:paraId="3A58EBE6" w14:textId="7AE680F5" w:rsidR="00A94A10" w:rsidRDefault="00A94A10" w:rsidP="00BE68EC">
            <w:pPr>
              <w:jc w:val="center"/>
              <w:rPr>
                <w:sz w:val="15"/>
                <w:szCs w:val="15"/>
              </w:rPr>
            </w:pPr>
            <w:r>
              <w:rPr>
                <w:sz w:val="15"/>
                <w:szCs w:val="15"/>
              </w:rPr>
              <w:t>-0.05</w:t>
            </w:r>
            <w:r w:rsidR="00CE17F2">
              <w:rPr>
                <w:sz w:val="15"/>
                <w:szCs w:val="15"/>
              </w:rPr>
              <w:t>3</w:t>
            </w:r>
            <w:r>
              <w:rPr>
                <w:sz w:val="15"/>
                <w:szCs w:val="15"/>
              </w:rPr>
              <w:t>**</w:t>
            </w:r>
          </w:p>
          <w:p w14:paraId="005EBA83" w14:textId="06A97686" w:rsidR="00A94A10" w:rsidRPr="006A01DA" w:rsidRDefault="00A94A10" w:rsidP="00BE68EC">
            <w:pPr>
              <w:jc w:val="center"/>
              <w:rPr>
                <w:sz w:val="15"/>
                <w:szCs w:val="15"/>
              </w:rPr>
            </w:pPr>
            <w:r>
              <w:rPr>
                <w:sz w:val="15"/>
                <w:szCs w:val="15"/>
              </w:rPr>
              <w:t>(0.01</w:t>
            </w:r>
            <w:r w:rsidR="00CE17F2">
              <w:rPr>
                <w:sz w:val="15"/>
                <w:szCs w:val="15"/>
              </w:rPr>
              <w:t>6</w:t>
            </w:r>
            <w:r>
              <w:rPr>
                <w:sz w:val="15"/>
                <w:szCs w:val="15"/>
              </w:rPr>
              <w:t>)</w:t>
            </w:r>
          </w:p>
        </w:tc>
        <w:tc>
          <w:tcPr>
            <w:tcW w:w="239" w:type="dxa"/>
          </w:tcPr>
          <w:p w14:paraId="4D25F2E7" w14:textId="77777777" w:rsidR="00A94A10" w:rsidRPr="00636169" w:rsidRDefault="00A94A10" w:rsidP="00BE68EC">
            <w:pPr>
              <w:jc w:val="center"/>
              <w:rPr>
                <w:sz w:val="16"/>
                <w:szCs w:val="16"/>
              </w:rPr>
            </w:pPr>
          </w:p>
        </w:tc>
      </w:tr>
      <w:tr w:rsidR="00A94A10" w:rsidRPr="00636169" w14:paraId="7B8B5391" w14:textId="77777777" w:rsidTr="00D5571C">
        <w:trPr>
          <w:gridAfter w:val="1"/>
          <w:wAfter w:w="1560" w:type="dxa"/>
        </w:trPr>
        <w:tc>
          <w:tcPr>
            <w:tcW w:w="1913" w:type="dxa"/>
            <w:vAlign w:val="center"/>
          </w:tcPr>
          <w:p w14:paraId="2E52EF55" w14:textId="77777777" w:rsidR="00A94A10" w:rsidRPr="009C7364" w:rsidRDefault="00A94A10" w:rsidP="00BE68EC">
            <w:pPr>
              <w:rPr>
                <w:b/>
                <w:bCs/>
                <w:sz w:val="15"/>
                <w:szCs w:val="15"/>
              </w:rPr>
            </w:pPr>
            <w:r w:rsidRPr="009C7364">
              <w:rPr>
                <w:sz w:val="15"/>
                <w:szCs w:val="15"/>
              </w:rPr>
              <w:t>Good health</w:t>
            </w:r>
          </w:p>
        </w:tc>
        <w:tc>
          <w:tcPr>
            <w:tcW w:w="1773" w:type="dxa"/>
            <w:shd w:val="clear" w:color="auto" w:fill="8DD873" w:themeFill="accent6" w:themeFillTint="99"/>
            <w:vAlign w:val="center"/>
          </w:tcPr>
          <w:p w14:paraId="3EB46E24" w14:textId="5CD2139A" w:rsidR="00A94A10" w:rsidRDefault="00A94A10" w:rsidP="00BE68EC">
            <w:pPr>
              <w:jc w:val="center"/>
              <w:rPr>
                <w:sz w:val="15"/>
                <w:szCs w:val="15"/>
              </w:rPr>
            </w:pPr>
            <w:r>
              <w:rPr>
                <w:sz w:val="15"/>
                <w:szCs w:val="15"/>
              </w:rPr>
              <w:t>-0.04</w:t>
            </w:r>
            <w:r w:rsidR="00262EA9">
              <w:rPr>
                <w:sz w:val="15"/>
                <w:szCs w:val="15"/>
              </w:rPr>
              <w:t>7</w:t>
            </w:r>
            <w:r>
              <w:rPr>
                <w:sz w:val="15"/>
                <w:szCs w:val="15"/>
              </w:rPr>
              <w:t>***</w:t>
            </w:r>
          </w:p>
          <w:p w14:paraId="2AF221E3" w14:textId="2B0D69A5" w:rsidR="00A94A10" w:rsidRPr="009C7364" w:rsidRDefault="00A94A10" w:rsidP="00BE68EC">
            <w:pPr>
              <w:jc w:val="center"/>
              <w:rPr>
                <w:sz w:val="15"/>
                <w:szCs w:val="15"/>
              </w:rPr>
            </w:pPr>
            <w:r>
              <w:rPr>
                <w:sz w:val="15"/>
                <w:szCs w:val="15"/>
              </w:rPr>
              <w:t>(0.0</w:t>
            </w:r>
            <w:r w:rsidR="00262EA9">
              <w:rPr>
                <w:sz w:val="15"/>
                <w:szCs w:val="15"/>
              </w:rPr>
              <w:t>10</w:t>
            </w:r>
            <w:r>
              <w:rPr>
                <w:sz w:val="15"/>
                <w:szCs w:val="15"/>
              </w:rPr>
              <w:t>)</w:t>
            </w:r>
          </w:p>
        </w:tc>
        <w:tc>
          <w:tcPr>
            <w:tcW w:w="1984" w:type="dxa"/>
            <w:tcBorders>
              <w:right w:val="single" w:sz="4" w:space="0" w:color="auto"/>
            </w:tcBorders>
            <w:shd w:val="clear" w:color="auto" w:fill="8DD873" w:themeFill="accent6" w:themeFillTint="99"/>
            <w:vAlign w:val="center"/>
          </w:tcPr>
          <w:p w14:paraId="260ACDE5" w14:textId="0EC64C3B" w:rsidR="00A94A10" w:rsidRDefault="00A94A10" w:rsidP="00BE68EC">
            <w:pPr>
              <w:jc w:val="center"/>
              <w:rPr>
                <w:sz w:val="15"/>
                <w:szCs w:val="15"/>
              </w:rPr>
            </w:pPr>
            <w:r>
              <w:rPr>
                <w:sz w:val="15"/>
                <w:szCs w:val="15"/>
              </w:rPr>
              <w:t>-0.02</w:t>
            </w:r>
            <w:r w:rsidR="00AB7D31">
              <w:rPr>
                <w:sz w:val="15"/>
                <w:szCs w:val="15"/>
              </w:rPr>
              <w:t>2</w:t>
            </w:r>
            <w:r>
              <w:rPr>
                <w:sz w:val="15"/>
                <w:szCs w:val="15"/>
              </w:rPr>
              <w:t>***</w:t>
            </w:r>
          </w:p>
          <w:p w14:paraId="07898829" w14:textId="579D3234" w:rsidR="00A94A10" w:rsidRPr="006A01DA" w:rsidRDefault="00A94A10" w:rsidP="00BE68EC">
            <w:pPr>
              <w:jc w:val="center"/>
              <w:rPr>
                <w:sz w:val="15"/>
                <w:szCs w:val="15"/>
              </w:rPr>
            </w:pPr>
            <w:r>
              <w:rPr>
                <w:sz w:val="15"/>
                <w:szCs w:val="15"/>
              </w:rPr>
              <w:t>(0.00</w:t>
            </w:r>
            <w:r w:rsidR="00AB7D31">
              <w:rPr>
                <w:sz w:val="15"/>
                <w:szCs w:val="15"/>
              </w:rPr>
              <w:t>8</w:t>
            </w:r>
            <w:r>
              <w:rPr>
                <w:sz w:val="15"/>
                <w:szCs w:val="15"/>
              </w:rPr>
              <w:t>)</w:t>
            </w:r>
          </w:p>
        </w:tc>
        <w:tc>
          <w:tcPr>
            <w:tcW w:w="1560" w:type="dxa"/>
            <w:tcBorders>
              <w:left w:val="single" w:sz="4" w:space="0" w:color="auto"/>
            </w:tcBorders>
            <w:shd w:val="clear" w:color="auto" w:fill="8DD873" w:themeFill="accent6" w:themeFillTint="99"/>
            <w:vAlign w:val="center"/>
          </w:tcPr>
          <w:p w14:paraId="423948B0" w14:textId="0840BB78" w:rsidR="00A94A10" w:rsidRDefault="00A94A10" w:rsidP="00BE68EC">
            <w:pPr>
              <w:jc w:val="center"/>
              <w:rPr>
                <w:sz w:val="15"/>
                <w:szCs w:val="15"/>
              </w:rPr>
            </w:pPr>
            <w:r>
              <w:rPr>
                <w:sz w:val="15"/>
                <w:szCs w:val="15"/>
              </w:rPr>
              <w:t>-0.0</w:t>
            </w:r>
            <w:r w:rsidR="00B537B5">
              <w:rPr>
                <w:sz w:val="15"/>
                <w:szCs w:val="15"/>
              </w:rPr>
              <w:t>10</w:t>
            </w:r>
            <w:r>
              <w:rPr>
                <w:sz w:val="15"/>
                <w:szCs w:val="15"/>
              </w:rPr>
              <w:t>***</w:t>
            </w:r>
          </w:p>
          <w:p w14:paraId="2AA65FD4" w14:textId="4C6471F8" w:rsidR="00A94A10" w:rsidRPr="006A01DA" w:rsidRDefault="00A94A10" w:rsidP="00BE68EC">
            <w:pPr>
              <w:jc w:val="center"/>
              <w:rPr>
                <w:sz w:val="15"/>
                <w:szCs w:val="15"/>
              </w:rPr>
            </w:pPr>
            <w:r>
              <w:rPr>
                <w:sz w:val="15"/>
                <w:szCs w:val="15"/>
              </w:rPr>
              <w:t>(0.01</w:t>
            </w:r>
            <w:r w:rsidR="00B537B5">
              <w:rPr>
                <w:sz w:val="15"/>
                <w:szCs w:val="15"/>
              </w:rPr>
              <w:t>4</w:t>
            </w:r>
            <w:r>
              <w:rPr>
                <w:sz w:val="15"/>
                <w:szCs w:val="15"/>
              </w:rPr>
              <w:t>)</w:t>
            </w:r>
          </w:p>
        </w:tc>
        <w:tc>
          <w:tcPr>
            <w:tcW w:w="1557" w:type="dxa"/>
            <w:shd w:val="clear" w:color="auto" w:fill="8DD873" w:themeFill="accent6" w:themeFillTint="99"/>
            <w:vAlign w:val="center"/>
          </w:tcPr>
          <w:p w14:paraId="4BB72454" w14:textId="13ABBD61" w:rsidR="00A94A10" w:rsidRDefault="00A94A10" w:rsidP="00BE68EC">
            <w:pPr>
              <w:jc w:val="center"/>
              <w:rPr>
                <w:sz w:val="15"/>
                <w:szCs w:val="15"/>
              </w:rPr>
            </w:pPr>
            <w:r>
              <w:rPr>
                <w:sz w:val="15"/>
                <w:szCs w:val="15"/>
              </w:rPr>
              <w:t>-0.0</w:t>
            </w:r>
            <w:r w:rsidR="002F6D1F">
              <w:rPr>
                <w:sz w:val="15"/>
                <w:szCs w:val="15"/>
              </w:rPr>
              <w:t>59</w:t>
            </w:r>
            <w:r>
              <w:rPr>
                <w:sz w:val="15"/>
                <w:szCs w:val="15"/>
              </w:rPr>
              <w:t>***</w:t>
            </w:r>
          </w:p>
          <w:p w14:paraId="4BF97BF6" w14:textId="3F275137" w:rsidR="00A94A10" w:rsidRPr="006A01DA" w:rsidRDefault="00A94A10" w:rsidP="00BE68EC">
            <w:pPr>
              <w:jc w:val="center"/>
              <w:rPr>
                <w:sz w:val="15"/>
                <w:szCs w:val="15"/>
              </w:rPr>
            </w:pPr>
            <w:r>
              <w:rPr>
                <w:sz w:val="15"/>
                <w:szCs w:val="15"/>
              </w:rPr>
              <w:t>(0.01</w:t>
            </w:r>
            <w:r w:rsidR="002F6D1F">
              <w:rPr>
                <w:sz w:val="15"/>
                <w:szCs w:val="15"/>
              </w:rPr>
              <w:t>3</w:t>
            </w:r>
            <w:r>
              <w:rPr>
                <w:sz w:val="15"/>
                <w:szCs w:val="15"/>
              </w:rPr>
              <w:t>)</w:t>
            </w:r>
          </w:p>
        </w:tc>
        <w:tc>
          <w:tcPr>
            <w:tcW w:w="239" w:type="dxa"/>
          </w:tcPr>
          <w:p w14:paraId="3D157737" w14:textId="77777777" w:rsidR="00A94A10" w:rsidRPr="00636169" w:rsidRDefault="00A94A10" w:rsidP="00BE68EC">
            <w:pPr>
              <w:jc w:val="center"/>
              <w:rPr>
                <w:sz w:val="16"/>
                <w:szCs w:val="16"/>
              </w:rPr>
            </w:pPr>
          </w:p>
        </w:tc>
      </w:tr>
      <w:tr w:rsidR="00A94A10" w:rsidRPr="00636169" w14:paraId="426F9A2D" w14:textId="77777777" w:rsidTr="00C30043">
        <w:trPr>
          <w:gridAfter w:val="1"/>
          <w:wAfter w:w="1560" w:type="dxa"/>
        </w:trPr>
        <w:tc>
          <w:tcPr>
            <w:tcW w:w="1913" w:type="dxa"/>
            <w:vAlign w:val="center"/>
          </w:tcPr>
          <w:p w14:paraId="2B11D2AB" w14:textId="77777777" w:rsidR="00A94A10" w:rsidRPr="009C7364" w:rsidRDefault="00A94A10" w:rsidP="00BE68EC">
            <w:pPr>
              <w:rPr>
                <w:b/>
                <w:bCs/>
                <w:sz w:val="15"/>
                <w:szCs w:val="15"/>
              </w:rPr>
            </w:pPr>
            <w:r w:rsidRPr="009C7364">
              <w:rPr>
                <w:sz w:val="15"/>
                <w:szCs w:val="15"/>
              </w:rPr>
              <w:t>Disability</w:t>
            </w:r>
          </w:p>
        </w:tc>
        <w:tc>
          <w:tcPr>
            <w:tcW w:w="1773" w:type="dxa"/>
            <w:shd w:val="clear" w:color="auto" w:fill="FAE2D5" w:themeFill="accent2" w:themeFillTint="33"/>
            <w:vAlign w:val="center"/>
          </w:tcPr>
          <w:p w14:paraId="65CBC0A9" w14:textId="415EEAEB" w:rsidR="00A94A10" w:rsidRDefault="00A94A10" w:rsidP="00BE68EC">
            <w:pPr>
              <w:jc w:val="center"/>
              <w:rPr>
                <w:sz w:val="15"/>
                <w:szCs w:val="15"/>
              </w:rPr>
            </w:pPr>
            <w:r>
              <w:rPr>
                <w:sz w:val="15"/>
                <w:szCs w:val="15"/>
              </w:rPr>
              <w:t>0.0</w:t>
            </w:r>
            <w:r w:rsidR="00262EA9">
              <w:rPr>
                <w:sz w:val="15"/>
                <w:szCs w:val="15"/>
              </w:rPr>
              <w:t>30</w:t>
            </w:r>
            <w:r>
              <w:rPr>
                <w:sz w:val="15"/>
                <w:szCs w:val="15"/>
              </w:rPr>
              <w:t>***</w:t>
            </w:r>
          </w:p>
          <w:p w14:paraId="54AB0BBA" w14:textId="17E90C5B" w:rsidR="00A94A10" w:rsidRPr="009C7364" w:rsidRDefault="00A94A10" w:rsidP="00BE68EC">
            <w:pPr>
              <w:jc w:val="center"/>
              <w:rPr>
                <w:sz w:val="15"/>
                <w:szCs w:val="15"/>
              </w:rPr>
            </w:pPr>
            <w:r>
              <w:rPr>
                <w:sz w:val="15"/>
                <w:szCs w:val="15"/>
              </w:rPr>
              <w:t>(0.00</w:t>
            </w:r>
            <w:r w:rsidR="00262EA9">
              <w:rPr>
                <w:sz w:val="15"/>
                <w:szCs w:val="15"/>
              </w:rPr>
              <w:t>8</w:t>
            </w:r>
            <w:r>
              <w:rPr>
                <w:sz w:val="15"/>
                <w:szCs w:val="15"/>
              </w:rPr>
              <w:t>)</w:t>
            </w:r>
          </w:p>
        </w:tc>
        <w:tc>
          <w:tcPr>
            <w:tcW w:w="1984" w:type="dxa"/>
            <w:tcBorders>
              <w:right w:val="single" w:sz="4" w:space="0" w:color="auto"/>
            </w:tcBorders>
            <w:shd w:val="clear" w:color="auto" w:fill="FAE2D5" w:themeFill="accent2" w:themeFillTint="33"/>
            <w:vAlign w:val="center"/>
          </w:tcPr>
          <w:p w14:paraId="40EDD3D5" w14:textId="1B4643A7" w:rsidR="00A94A10" w:rsidRPr="00AB7D31" w:rsidRDefault="00A94A10" w:rsidP="00BE68EC">
            <w:pPr>
              <w:jc w:val="center"/>
              <w:rPr>
                <w:sz w:val="15"/>
                <w:szCs w:val="15"/>
                <w:vertAlign w:val="superscript"/>
              </w:rPr>
            </w:pPr>
            <w:r>
              <w:rPr>
                <w:sz w:val="15"/>
                <w:szCs w:val="15"/>
              </w:rPr>
              <w:t>0.01</w:t>
            </w:r>
            <w:r w:rsidR="00AB7D31">
              <w:rPr>
                <w:sz w:val="15"/>
                <w:szCs w:val="15"/>
              </w:rPr>
              <w:t>2</w:t>
            </w:r>
            <w:r w:rsidR="00AB7D31">
              <w:rPr>
                <w:sz w:val="15"/>
                <w:szCs w:val="15"/>
                <w:vertAlign w:val="superscript"/>
              </w:rPr>
              <w:t>+</w:t>
            </w:r>
          </w:p>
          <w:p w14:paraId="7EE4767B" w14:textId="222EF115" w:rsidR="00A94A10" w:rsidRPr="006A01DA" w:rsidRDefault="00A94A10" w:rsidP="00BE68EC">
            <w:pPr>
              <w:jc w:val="center"/>
              <w:rPr>
                <w:sz w:val="15"/>
                <w:szCs w:val="15"/>
              </w:rPr>
            </w:pPr>
            <w:r>
              <w:rPr>
                <w:sz w:val="15"/>
                <w:szCs w:val="15"/>
              </w:rPr>
              <w:t>(0.00</w:t>
            </w:r>
            <w:r w:rsidR="00AB7D31">
              <w:rPr>
                <w:sz w:val="15"/>
                <w:szCs w:val="15"/>
              </w:rPr>
              <w:t>7</w:t>
            </w:r>
            <w:r>
              <w:rPr>
                <w:sz w:val="15"/>
                <w:szCs w:val="15"/>
              </w:rPr>
              <w:t>)</w:t>
            </w:r>
          </w:p>
        </w:tc>
        <w:tc>
          <w:tcPr>
            <w:tcW w:w="1560" w:type="dxa"/>
            <w:tcBorders>
              <w:left w:val="single" w:sz="4" w:space="0" w:color="auto"/>
            </w:tcBorders>
            <w:shd w:val="clear" w:color="auto" w:fill="FAE2D5" w:themeFill="accent2" w:themeFillTint="33"/>
            <w:vAlign w:val="center"/>
          </w:tcPr>
          <w:p w14:paraId="1DA2404D" w14:textId="26DBD549" w:rsidR="00A94A10" w:rsidRDefault="00A94A10" w:rsidP="00BE68EC">
            <w:pPr>
              <w:jc w:val="center"/>
              <w:rPr>
                <w:sz w:val="15"/>
                <w:szCs w:val="15"/>
              </w:rPr>
            </w:pPr>
            <w:r>
              <w:rPr>
                <w:sz w:val="15"/>
                <w:szCs w:val="15"/>
              </w:rPr>
              <w:t>0.0</w:t>
            </w:r>
            <w:r w:rsidR="00B537B5">
              <w:rPr>
                <w:sz w:val="15"/>
                <w:szCs w:val="15"/>
              </w:rPr>
              <w:t>76</w:t>
            </w:r>
            <w:r>
              <w:rPr>
                <w:sz w:val="15"/>
                <w:szCs w:val="15"/>
              </w:rPr>
              <w:t>***</w:t>
            </w:r>
          </w:p>
          <w:p w14:paraId="748987EF" w14:textId="7474E758" w:rsidR="00A94A10" w:rsidRPr="006A01DA" w:rsidRDefault="00A94A10" w:rsidP="00BE68EC">
            <w:pPr>
              <w:jc w:val="center"/>
              <w:rPr>
                <w:sz w:val="15"/>
                <w:szCs w:val="15"/>
              </w:rPr>
            </w:pPr>
            <w:r>
              <w:rPr>
                <w:sz w:val="15"/>
                <w:szCs w:val="15"/>
              </w:rPr>
              <w:t>(0.0</w:t>
            </w:r>
            <w:r w:rsidR="00B537B5">
              <w:rPr>
                <w:sz w:val="15"/>
                <w:szCs w:val="15"/>
              </w:rPr>
              <w:t>12</w:t>
            </w:r>
            <w:r>
              <w:rPr>
                <w:sz w:val="15"/>
                <w:szCs w:val="15"/>
              </w:rPr>
              <w:t>)</w:t>
            </w:r>
          </w:p>
        </w:tc>
        <w:tc>
          <w:tcPr>
            <w:tcW w:w="1557" w:type="dxa"/>
            <w:shd w:val="clear" w:color="auto" w:fill="FAE2D5" w:themeFill="accent2" w:themeFillTint="33"/>
            <w:vAlign w:val="center"/>
          </w:tcPr>
          <w:p w14:paraId="5B30E458" w14:textId="5570B23D" w:rsidR="00A94A10" w:rsidRDefault="00A94A10" w:rsidP="00BE68EC">
            <w:pPr>
              <w:jc w:val="center"/>
              <w:rPr>
                <w:sz w:val="15"/>
                <w:szCs w:val="15"/>
              </w:rPr>
            </w:pPr>
            <w:r>
              <w:rPr>
                <w:sz w:val="15"/>
                <w:szCs w:val="15"/>
              </w:rPr>
              <w:t>0.0</w:t>
            </w:r>
            <w:r w:rsidR="002F6D1F">
              <w:rPr>
                <w:sz w:val="15"/>
                <w:szCs w:val="15"/>
              </w:rPr>
              <w:t>43</w:t>
            </w:r>
            <w:r>
              <w:rPr>
                <w:sz w:val="15"/>
                <w:szCs w:val="15"/>
              </w:rPr>
              <w:t>*</w:t>
            </w:r>
            <w:r w:rsidR="002F6D1F">
              <w:rPr>
                <w:sz w:val="15"/>
                <w:szCs w:val="15"/>
              </w:rPr>
              <w:t>*</w:t>
            </w:r>
            <w:r>
              <w:rPr>
                <w:sz w:val="15"/>
                <w:szCs w:val="15"/>
              </w:rPr>
              <w:t>*</w:t>
            </w:r>
          </w:p>
          <w:p w14:paraId="7DB4DC02" w14:textId="06A72630" w:rsidR="00A94A10" w:rsidRPr="006A01DA" w:rsidRDefault="00A94A10" w:rsidP="00BE68EC">
            <w:pPr>
              <w:jc w:val="center"/>
              <w:rPr>
                <w:sz w:val="15"/>
                <w:szCs w:val="15"/>
              </w:rPr>
            </w:pPr>
            <w:r>
              <w:rPr>
                <w:sz w:val="15"/>
                <w:szCs w:val="15"/>
              </w:rPr>
              <w:t>(0.0</w:t>
            </w:r>
            <w:r w:rsidR="002F6D1F">
              <w:rPr>
                <w:sz w:val="15"/>
                <w:szCs w:val="15"/>
              </w:rPr>
              <w:t>12</w:t>
            </w:r>
            <w:r>
              <w:rPr>
                <w:sz w:val="15"/>
                <w:szCs w:val="15"/>
              </w:rPr>
              <w:t>)</w:t>
            </w:r>
          </w:p>
        </w:tc>
        <w:tc>
          <w:tcPr>
            <w:tcW w:w="239" w:type="dxa"/>
          </w:tcPr>
          <w:p w14:paraId="1E6922FA" w14:textId="77777777" w:rsidR="00A94A10" w:rsidRPr="00636169" w:rsidRDefault="00A94A10" w:rsidP="00BE68EC">
            <w:pPr>
              <w:jc w:val="center"/>
              <w:rPr>
                <w:sz w:val="16"/>
                <w:szCs w:val="16"/>
              </w:rPr>
            </w:pPr>
          </w:p>
        </w:tc>
      </w:tr>
      <w:tr w:rsidR="00A94A10" w:rsidRPr="00636169" w14:paraId="19B796FB" w14:textId="77777777" w:rsidTr="00C30043">
        <w:trPr>
          <w:gridAfter w:val="1"/>
          <w:wAfter w:w="1560" w:type="dxa"/>
        </w:trPr>
        <w:tc>
          <w:tcPr>
            <w:tcW w:w="1913" w:type="dxa"/>
            <w:vAlign w:val="center"/>
          </w:tcPr>
          <w:p w14:paraId="4E7A8384" w14:textId="77777777" w:rsidR="00A94A10" w:rsidRPr="009C7364" w:rsidRDefault="00A94A10" w:rsidP="00BE68EC">
            <w:pPr>
              <w:rPr>
                <w:b/>
                <w:bCs/>
                <w:sz w:val="15"/>
                <w:szCs w:val="15"/>
              </w:rPr>
            </w:pPr>
            <w:r w:rsidRPr="009C7364">
              <w:rPr>
                <w:sz w:val="15"/>
                <w:szCs w:val="15"/>
              </w:rPr>
              <w:t>Not born in Ireland</w:t>
            </w:r>
          </w:p>
        </w:tc>
        <w:tc>
          <w:tcPr>
            <w:tcW w:w="1773" w:type="dxa"/>
            <w:shd w:val="clear" w:color="auto" w:fill="FAE2D5" w:themeFill="accent2" w:themeFillTint="33"/>
            <w:vAlign w:val="center"/>
          </w:tcPr>
          <w:p w14:paraId="4D14509E" w14:textId="35615CC0" w:rsidR="00A94A10" w:rsidRDefault="00A94A10" w:rsidP="00BE68EC">
            <w:pPr>
              <w:jc w:val="center"/>
              <w:rPr>
                <w:sz w:val="15"/>
                <w:szCs w:val="15"/>
              </w:rPr>
            </w:pPr>
            <w:r>
              <w:rPr>
                <w:sz w:val="15"/>
                <w:szCs w:val="15"/>
              </w:rPr>
              <w:t>0.01</w:t>
            </w:r>
            <w:r w:rsidR="00E86053">
              <w:rPr>
                <w:sz w:val="15"/>
                <w:szCs w:val="15"/>
              </w:rPr>
              <w:t>9</w:t>
            </w:r>
            <w:r>
              <w:rPr>
                <w:sz w:val="15"/>
                <w:szCs w:val="15"/>
              </w:rPr>
              <w:t>**</w:t>
            </w:r>
          </w:p>
          <w:p w14:paraId="1F65AC4B" w14:textId="13174A1A" w:rsidR="00A94A10" w:rsidRPr="009C7364" w:rsidRDefault="00A94A10" w:rsidP="00BE68EC">
            <w:pPr>
              <w:jc w:val="center"/>
              <w:rPr>
                <w:sz w:val="15"/>
                <w:szCs w:val="15"/>
              </w:rPr>
            </w:pPr>
            <w:r>
              <w:rPr>
                <w:sz w:val="15"/>
                <w:szCs w:val="15"/>
              </w:rPr>
              <w:t>(0.00</w:t>
            </w:r>
            <w:r w:rsidR="00E86053">
              <w:rPr>
                <w:sz w:val="15"/>
                <w:szCs w:val="15"/>
              </w:rPr>
              <w:t>6</w:t>
            </w:r>
            <w:r>
              <w:rPr>
                <w:sz w:val="15"/>
                <w:szCs w:val="15"/>
              </w:rPr>
              <w:t>)</w:t>
            </w:r>
          </w:p>
        </w:tc>
        <w:tc>
          <w:tcPr>
            <w:tcW w:w="1984" w:type="dxa"/>
            <w:tcBorders>
              <w:right w:val="single" w:sz="4" w:space="0" w:color="auto"/>
            </w:tcBorders>
            <w:shd w:val="clear" w:color="auto" w:fill="FAE2D5" w:themeFill="accent2" w:themeFillTint="33"/>
            <w:vAlign w:val="center"/>
          </w:tcPr>
          <w:p w14:paraId="1A8F8C7E" w14:textId="0FA7675D" w:rsidR="00A94A10" w:rsidRDefault="00A94A10" w:rsidP="00BE68EC">
            <w:pPr>
              <w:jc w:val="center"/>
              <w:rPr>
                <w:sz w:val="15"/>
                <w:szCs w:val="15"/>
              </w:rPr>
            </w:pPr>
            <w:r>
              <w:rPr>
                <w:sz w:val="15"/>
                <w:szCs w:val="15"/>
              </w:rPr>
              <w:t>0.0</w:t>
            </w:r>
            <w:r w:rsidR="00D91718">
              <w:rPr>
                <w:sz w:val="15"/>
                <w:szCs w:val="15"/>
              </w:rPr>
              <w:t>21</w:t>
            </w:r>
            <w:r>
              <w:rPr>
                <w:sz w:val="15"/>
                <w:szCs w:val="15"/>
              </w:rPr>
              <w:t>**</w:t>
            </w:r>
          </w:p>
          <w:p w14:paraId="100D900C" w14:textId="25848E94" w:rsidR="00A94A10" w:rsidRPr="006A01DA" w:rsidRDefault="00A94A10" w:rsidP="00BE68EC">
            <w:pPr>
              <w:jc w:val="center"/>
              <w:rPr>
                <w:sz w:val="15"/>
                <w:szCs w:val="15"/>
              </w:rPr>
            </w:pPr>
            <w:r>
              <w:rPr>
                <w:sz w:val="15"/>
                <w:szCs w:val="15"/>
              </w:rPr>
              <w:t>(0.00</w:t>
            </w:r>
            <w:r w:rsidR="00D91718">
              <w:rPr>
                <w:sz w:val="15"/>
                <w:szCs w:val="15"/>
              </w:rPr>
              <w:t>6</w:t>
            </w:r>
            <w:r>
              <w:rPr>
                <w:sz w:val="15"/>
                <w:szCs w:val="15"/>
              </w:rPr>
              <w:t>)</w:t>
            </w:r>
          </w:p>
        </w:tc>
        <w:tc>
          <w:tcPr>
            <w:tcW w:w="1560" w:type="dxa"/>
            <w:tcBorders>
              <w:left w:val="single" w:sz="4" w:space="0" w:color="auto"/>
            </w:tcBorders>
            <w:shd w:val="clear" w:color="auto" w:fill="FAE2D5" w:themeFill="accent2" w:themeFillTint="33"/>
            <w:vAlign w:val="center"/>
          </w:tcPr>
          <w:p w14:paraId="735BE0C4" w14:textId="44FCE51A" w:rsidR="00A94A10" w:rsidRDefault="00A94A10" w:rsidP="00BE68EC">
            <w:pPr>
              <w:jc w:val="center"/>
              <w:rPr>
                <w:sz w:val="15"/>
                <w:szCs w:val="15"/>
              </w:rPr>
            </w:pPr>
            <w:r>
              <w:rPr>
                <w:sz w:val="15"/>
                <w:szCs w:val="15"/>
              </w:rPr>
              <w:t>0.01</w:t>
            </w:r>
            <w:r w:rsidR="00CB641D">
              <w:rPr>
                <w:sz w:val="15"/>
                <w:szCs w:val="15"/>
              </w:rPr>
              <w:t>7</w:t>
            </w:r>
            <w:r w:rsidR="00CB641D">
              <w:rPr>
                <w:sz w:val="15"/>
                <w:szCs w:val="15"/>
                <w:vertAlign w:val="superscript"/>
              </w:rPr>
              <w:t>+</w:t>
            </w:r>
          </w:p>
          <w:p w14:paraId="26CAB930" w14:textId="0DFFFC47" w:rsidR="00A94A10" w:rsidRPr="006A01DA" w:rsidRDefault="00A94A10" w:rsidP="00BE68EC">
            <w:pPr>
              <w:jc w:val="center"/>
              <w:rPr>
                <w:sz w:val="15"/>
                <w:szCs w:val="15"/>
              </w:rPr>
            </w:pPr>
            <w:r>
              <w:rPr>
                <w:sz w:val="15"/>
                <w:szCs w:val="15"/>
              </w:rPr>
              <w:t>(0.</w:t>
            </w:r>
            <w:r w:rsidR="00CB641D">
              <w:rPr>
                <w:sz w:val="15"/>
                <w:szCs w:val="15"/>
              </w:rPr>
              <w:t>010</w:t>
            </w:r>
            <w:r>
              <w:rPr>
                <w:sz w:val="15"/>
                <w:szCs w:val="15"/>
              </w:rPr>
              <w:t>)</w:t>
            </w:r>
          </w:p>
        </w:tc>
        <w:tc>
          <w:tcPr>
            <w:tcW w:w="1557" w:type="dxa"/>
            <w:shd w:val="clear" w:color="auto" w:fill="FAE2D5" w:themeFill="accent2" w:themeFillTint="33"/>
            <w:vAlign w:val="center"/>
          </w:tcPr>
          <w:p w14:paraId="4A2F3530" w14:textId="17584DCB" w:rsidR="00A94A10" w:rsidRDefault="00A94A10" w:rsidP="00BE68EC">
            <w:pPr>
              <w:jc w:val="center"/>
              <w:rPr>
                <w:sz w:val="15"/>
                <w:szCs w:val="15"/>
              </w:rPr>
            </w:pPr>
            <w:r>
              <w:rPr>
                <w:sz w:val="15"/>
                <w:szCs w:val="15"/>
              </w:rPr>
              <w:t>0.021*</w:t>
            </w:r>
          </w:p>
          <w:p w14:paraId="1018489C" w14:textId="14949ABA" w:rsidR="00A94A10" w:rsidRPr="006A01DA" w:rsidRDefault="00A94A10" w:rsidP="00BE68EC">
            <w:pPr>
              <w:jc w:val="center"/>
              <w:rPr>
                <w:sz w:val="15"/>
                <w:szCs w:val="15"/>
              </w:rPr>
            </w:pPr>
            <w:r>
              <w:rPr>
                <w:sz w:val="15"/>
                <w:szCs w:val="15"/>
              </w:rPr>
              <w:t>(0.0</w:t>
            </w:r>
            <w:r w:rsidR="005272D1">
              <w:rPr>
                <w:sz w:val="15"/>
                <w:szCs w:val="15"/>
              </w:rPr>
              <w:t>10</w:t>
            </w:r>
            <w:r>
              <w:rPr>
                <w:sz w:val="15"/>
                <w:szCs w:val="15"/>
              </w:rPr>
              <w:t>)</w:t>
            </w:r>
          </w:p>
        </w:tc>
        <w:tc>
          <w:tcPr>
            <w:tcW w:w="239" w:type="dxa"/>
          </w:tcPr>
          <w:p w14:paraId="0EA637CE" w14:textId="77777777" w:rsidR="00A94A10" w:rsidRPr="00636169" w:rsidRDefault="00A94A10" w:rsidP="00BE68EC">
            <w:pPr>
              <w:jc w:val="center"/>
              <w:rPr>
                <w:sz w:val="16"/>
                <w:szCs w:val="16"/>
              </w:rPr>
            </w:pPr>
          </w:p>
        </w:tc>
      </w:tr>
      <w:tr w:rsidR="00A94A10" w:rsidRPr="00636169" w14:paraId="6580980C" w14:textId="77777777" w:rsidTr="00BE68EC">
        <w:trPr>
          <w:gridAfter w:val="1"/>
          <w:wAfter w:w="1560" w:type="dxa"/>
        </w:trPr>
        <w:tc>
          <w:tcPr>
            <w:tcW w:w="1913" w:type="dxa"/>
            <w:vAlign w:val="center"/>
          </w:tcPr>
          <w:p w14:paraId="3327D70D" w14:textId="77777777" w:rsidR="00A94A10" w:rsidRPr="009C7364" w:rsidRDefault="00A94A10" w:rsidP="00BE68EC">
            <w:pPr>
              <w:rPr>
                <w:b/>
                <w:bCs/>
                <w:sz w:val="15"/>
                <w:szCs w:val="15"/>
              </w:rPr>
            </w:pPr>
            <w:r w:rsidRPr="009C7364">
              <w:rPr>
                <w:i/>
                <w:iCs/>
                <w:sz w:val="15"/>
                <w:szCs w:val="15"/>
              </w:rPr>
              <w:t>Marital status (Ref: single)</w:t>
            </w:r>
          </w:p>
        </w:tc>
        <w:tc>
          <w:tcPr>
            <w:tcW w:w="1773" w:type="dxa"/>
            <w:vAlign w:val="center"/>
          </w:tcPr>
          <w:p w14:paraId="1A71EC96" w14:textId="77777777" w:rsidR="00A94A10" w:rsidRPr="009C7364" w:rsidRDefault="00A94A10" w:rsidP="00BE68EC">
            <w:pPr>
              <w:jc w:val="center"/>
              <w:rPr>
                <w:sz w:val="15"/>
                <w:szCs w:val="15"/>
              </w:rPr>
            </w:pPr>
          </w:p>
        </w:tc>
        <w:tc>
          <w:tcPr>
            <w:tcW w:w="1984" w:type="dxa"/>
            <w:tcBorders>
              <w:right w:val="single" w:sz="4" w:space="0" w:color="auto"/>
            </w:tcBorders>
            <w:vAlign w:val="center"/>
          </w:tcPr>
          <w:p w14:paraId="1F8DE852" w14:textId="77777777" w:rsidR="00A94A10" w:rsidRPr="00636169" w:rsidRDefault="00A94A10" w:rsidP="00BE68EC">
            <w:pPr>
              <w:jc w:val="center"/>
              <w:rPr>
                <w:sz w:val="15"/>
                <w:szCs w:val="15"/>
              </w:rPr>
            </w:pPr>
          </w:p>
        </w:tc>
        <w:tc>
          <w:tcPr>
            <w:tcW w:w="1560" w:type="dxa"/>
            <w:tcBorders>
              <w:left w:val="single" w:sz="4" w:space="0" w:color="auto"/>
            </w:tcBorders>
            <w:vAlign w:val="center"/>
          </w:tcPr>
          <w:p w14:paraId="2216639D" w14:textId="77777777" w:rsidR="00A94A10" w:rsidRPr="00636169" w:rsidRDefault="00A94A10" w:rsidP="00BE68EC">
            <w:pPr>
              <w:jc w:val="center"/>
              <w:rPr>
                <w:sz w:val="15"/>
                <w:szCs w:val="15"/>
              </w:rPr>
            </w:pPr>
          </w:p>
        </w:tc>
        <w:tc>
          <w:tcPr>
            <w:tcW w:w="1557" w:type="dxa"/>
            <w:vAlign w:val="center"/>
          </w:tcPr>
          <w:p w14:paraId="4FF83EFF" w14:textId="77777777" w:rsidR="00A94A10" w:rsidRPr="00636169" w:rsidRDefault="00A94A10" w:rsidP="00BE68EC">
            <w:pPr>
              <w:jc w:val="center"/>
              <w:rPr>
                <w:sz w:val="15"/>
                <w:szCs w:val="15"/>
              </w:rPr>
            </w:pPr>
          </w:p>
        </w:tc>
        <w:tc>
          <w:tcPr>
            <w:tcW w:w="239" w:type="dxa"/>
          </w:tcPr>
          <w:p w14:paraId="0195A8FD" w14:textId="77777777" w:rsidR="00A94A10" w:rsidRPr="00636169" w:rsidRDefault="00A94A10" w:rsidP="00BE68EC">
            <w:pPr>
              <w:jc w:val="center"/>
              <w:rPr>
                <w:sz w:val="16"/>
                <w:szCs w:val="16"/>
              </w:rPr>
            </w:pPr>
          </w:p>
        </w:tc>
      </w:tr>
      <w:tr w:rsidR="00A94A10" w:rsidRPr="00636169" w14:paraId="7D951CD6" w14:textId="77777777" w:rsidTr="00D5571C">
        <w:trPr>
          <w:gridAfter w:val="1"/>
          <w:wAfter w:w="1560" w:type="dxa"/>
        </w:trPr>
        <w:tc>
          <w:tcPr>
            <w:tcW w:w="1913" w:type="dxa"/>
            <w:vAlign w:val="center"/>
          </w:tcPr>
          <w:p w14:paraId="1155EFA9" w14:textId="77777777" w:rsidR="00A94A10" w:rsidRPr="009C7364" w:rsidRDefault="00A94A10" w:rsidP="00BE68EC">
            <w:pPr>
              <w:rPr>
                <w:b/>
                <w:bCs/>
                <w:sz w:val="15"/>
                <w:szCs w:val="15"/>
              </w:rPr>
            </w:pPr>
            <w:r w:rsidRPr="009C7364">
              <w:rPr>
                <w:sz w:val="15"/>
                <w:szCs w:val="15"/>
              </w:rPr>
              <w:t xml:space="preserve"> Married/</w:t>
            </w:r>
            <w:r>
              <w:rPr>
                <w:sz w:val="15"/>
                <w:szCs w:val="15"/>
              </w:rPr>
              <w:t>c</w:t>
            </w:r>
            <w:r w:rsidRPr="009C7364">
              <w:rPr>
                <w:sz w:val="15"/>
                <w:szCs w:val="15"/>
              </w:rPr>
              <w:t>ivil partnership</w:t>
            </w:r>
          </w:p>
        </w:tc>
        <w:tc>
          <w:tcPr>
            <w:tcW w:w="1773" w:type="dxa"/>
            <w:shd w:val="clear" w:color="auto" w:fill="8DD873" w:themeFill="accent6" w:themeFillTint="99"/>
            <w:vAlign w:val="center"/>
          </w:tcPr>
          <w:p w14:paraId="28D7E988" w14:textId="4DFCE706" w:rsidR="00A94A10" w:rsidRDefault="00A94A10" w:rsidP="00BE68EC">
            <w:pPr>
              <w:jc w:val="center"/>
              <w:rPr>
                <w:sz w:val="15"/>
                <w:szCs w:val="15"/>
              </w:rPr>
            </w:pPr>
            <w:r>
              <w:rPr>
                <w:sz w:val="15"/>
                <w:szCs w:val="15"/>
              </w:rPr>
              <w:t>-0.02</w:t>
            </w:r>
            <w:r w:rsidR="00E86053">
              <w:rPr>
                <w:sz w:val="15"/>
                <w:szCs w:val="15"/>
              </w:rPr>
              <w:t>8</w:t>
            </w:r>
            <w:r>
              <w:rPr>
                <w:sz w:val="15"/>
                <w:szCs w:val="15"/>
              </w:rPr>
              <w:t>***</w:t>
            </w:r>
          </w:p>
          <w:p w14:paraId="7E26D6A7" w14:textId="451BAB51" w:rsidR="00A94A10" w:rsidRPr="009C7364" w:rsidRDefault="00A94A10" w:rsidP="00BE68EC">
            <w:pPr>
              <w:jc w:val="center"/>
              <w:rPr>
                <w:sz w:val="15"/>
                <w:szCs w:val="15"/>
              </w:rPr>
            </w:pPr>
            <w:r>
              <w:rPr>
                <w:sz w:val="15"/>
                <w:szCs w:val="15"/>
              </w:rPr>
              <w:t>(0.00</w:t>
            </w:r>
            <w:r w:rsidR="00E86053">
              <w:rPr>
                <w:sz w:val="15"/>
                <w:szCs w:val="15"/>
              </w:rPr>
              <w:t>6</w:t>
            </w:r>
            <w:r>
              <w:rPr>
                <w:sz w:val="15"/>
                <w:szCs w:val="15"/>
              </w:rPr>
              <w:t>)</w:t>
            </w:r>
          </w:p>
        </w:tc>
        <w:tc>
          <w:tcPr>
            <w:tcW w:w="1984" w:type="dxa"/>
            <w:tcBorders>
              <w:right w:val="single" w:sz="4" w:space="0" w:color="auto"/>
            </w:tcBorders>
            <w:shd w:val="clear" w:color="auto" w:fill="8DD873" w:themeFill="accent6" w:themeFillTint="99"/>
            <w:vAlign w:val="center"/>
          </w:tcPr>
          <w:p w14:paraId="3305B31D" w14:textId="0AF0F97A" w:rsidR="00A94A10" w:rsidRDefault="00A94A10" w:rsidP="00BE68EC">
            <w:pPr>
              <w:jc w:val="center"/>
              <w:rPr>
                <w:sz w:val="15"/>
                <w:szCs w:val="15"/>
              </w:rPr>
            </w:pPr>
            <w:r>
              <w:rPr>
                <w:sz w:val="15"/>
                <w:szCs w:val="15"/>
              </w:rPr>
              <w:t>-0.0</w:t>
            </w:r>
            <w:r w:rsidR="00D91718">
              <w:rPr>
                <w:sz w:val="15"/>
                <w:szCs w:val="15"/>
              </w:rPr>
              <w:t>20</w:t>
            </w:r>
            <w:r>
              <w:rPr>
                <w:sz w:val="15"/>
                <w:szCs w:val="15"/>
              </w:rPr>
              <w:t>***</w:t>
            </w:r>
          </w:p>
          <w:p w14:paraId="7CB52F7B" w14:textId="533E84B9" w:rsidR="00A94A10" w:rsidRPr="00636169" w:rsidRDefault="00A94A10" w:rsidP="00BE68EC">
            <w:pPr>
              <w:jc w:val="center"/>
              <w:rPr>
                <w:sz w:val="15"/>
                <w:szCs w:val="15"/>
              </w:rPr>
            </w:pPr>
            <w:r>
              <w:rPr>
                <w:sz w:val="15"/>
                <w:szCs w:val="15"/>
              </w:rPr>
              <w:t>(0.00</w:t>
            </w:r>
            <w:r w:rsidR="00D91718">
              <w:rPr>
                <w:sz w:val="15"/>
                <w:szCs w:val="15"/>
              </w:rPr>
              <w:t>6</w:t>
            </w:r>
            <w:r>
              <w:rPr>
                <w:sz w:val="15"/>
                <w:szCs w:val="15"/>
              </w:rPr>
              <w:t>)</w:t>
            </w:r>
          </w:p>
        </w:tc>
        <w:tc>
          <w:tcPr>
            <w:tcW w:w="1560" w:type="dxa"/>
            <w:tcBorders>
              <w:left w:val="single" w:sz="4" w:space="0" w:color="auto"/>
            </w:tcBorders>
            <w:shd w:val="clear" w:color="auto" w:fill="8DD873" w:themeFill="accent6" w:themeFillTint="99"/>
            <w:vAlign w:val="center"/>
          </w:tcPr>
          <w:p w14:paraId="4DEB7A9E" w14:textId="1A0E99D5" w:rsidR="00A94A10" w:rsidRDefault="00A94A10" w:rsidP="00BE68EC">
            <w:pPr>
              <w:jc w:val="center"/>
              <w:rPr>
                <w:sz w:val="15"/>
                <w:szCs w:val="15"/>
              </w:rPr>
            </w:pPr>
            <w:r>
              <w:rPr>
                <w:sz w:val="15"/>
                <w:szCs w:val="15"/>
              </w:rPr>
              <w:t>-0.0</w:t>
            </w:r>
            <w:r w:rsidR="00CB641D">
              <w:rPr>
                <w:sz w:val="15"/>
                <w:szCs w:val="15"/>
              </w:rPr>
              <w:t>61</w:t>
            </w:r>
            <w:r>
              <w:rPr>
                <w:sz w:val="15"/>
                <w:szCs w:val="15"/>
              </w:rPr>
              <w:t>***</w:t>
            </w:r>
          </w:p>
          <w:p w14:paraId="5DCBDFD4" w14:textId="1D61CC6E" w:rsidR="00A94A10" w:rsidRPr="00636169" w:rsidRDefault="00A94A10" w:rsidP="00BE68EC">
            <w:pPr>
              <w:jc w:val="center"/>
              <w:rPr>
                <w:sz w:val="15"/>
                <w:szCs w:val="15"/>
              </w:rPr>
            </w:pPr>
            <w:r>
              <w:rPr>
                <w:sz w:val="15"/>
                <w:szCs w:val="15"/>
              </w:rPr>
              <w:t>(0.0</w:t>
            </w:r>
            <w:r w:rsidR="00CB641D">
              <w:rPr>
                <w:sz w:val="15"/>
                <w:szCs w:val="15"/>
              </w:rPr>
              <w:t>11</w:t>
            </w:r>
            <w:r>
              <w:rPr>
                <w:sz w:val="15"/>
                <w:szCs w:val="15"/>
              </w:rPr>
              <w:t>)</w:t>
            </w:r>
          </w:p>
        </w:tc>
        <w:tc>
          <w:tcPr>
            <w:tcW w:w="1557" w:type="dxa"/>
            <w:shd w:val="clear" w:color="auto" w:fill="8DD873" w:themeFill="accent6" w:themeFillTint="99"/>
            <w:vAlign w:val="center"/>
          </w:tcPr>
          <w:p w14:paraId="7156BF73" w14:textId="4341EBED" w:rsidR="00A94A10" w:rsidRDefault="00A94A10" w:rsidP="00BE68EC">
            <w:pPr>
              <w:jc w:val="center"/>
              <w:rPr>
                <w:sz w:val="15"/>
                <w:szCs w:val="15"/>
              </w:rPr>
            </w:pPr>
            <w:r>
              <w:rPr>
                <w:sz w:val="15"/>
                <w:szCs w:val="15"/>
              </w:rPr>
              <w:t>-0.04</w:t>
            </w:r>
            <w:r w:rsidR="005272D1">
              <w:rPr>
                <w:sz w:val="15"/>
                <w:szCs w:val="15"/>
              </w:rPr>
              <w:t>6</w:t>
            </w:r>
            <w:r>
              <w:rPr>
                <w:sz w:val="15"/>
                <w:szCs w:val="15"/>
              </w:rPr>
              <w:t>***</w:t>
            </w:r>
          </w:p>
          <w:p w14:paraId="27FB8D26" w14:textId="574A36F1" w:rsidR="00A94A10" w:rsidRPr="00636169" w:rsidRDefault="00A94A10" w:rsidP="00BE68EC">
            <w:pPr>
              <w:jc w:val="center"/>
              <w:rPr>
                <w:sz w:val="15"/>
                <w:szCs w:val="15"/>
              </w:rPr>
            </w:pPr>
            <w:r>
              <w:rPr>
                <w:sz w:val="15"/>
                <w:szCs w:val="15"/>
              </w:rPr>
              <w:t>(0.0</w:t>
            </w:r>
            <w:r w:rsidR="005272D1">
              <w:rPr>
                <w:sz w:val="15"/>
                <w:szCs w:val="15"/>
              </w:rPr>
              <w:t>10</w:t>
            </w:r>
            <w:r>
              <w:rPr>
                <w:sz w:val="15"/>
                <w:szCs w:val="15"/>
              </w:rPr>
              <w:t>)</w:t>
            </w:r>
          </w:p>
        </w:tc>
        <w:tc>
          <w:tcPr>
            <w:tcW w:w="239" w:type="dxa"/>
          </w:tcPr>
          <w:p w14:paraId="7862B3B5" w14:textId="77777777" w:rsidR="00A94A10" w:rsidRPr="00636169" w:rsidRDefault="00A94A10" w:rsidP="00BE68EC">
            <w:pPr>
              <w:jc w:val="center"/>
              <w:rPr>
                <w:sz w:val="16"/>
                <w:szCs w:val="16"/>
              </w:rPr>
            </w:pPr>
          </w:p>
        </w:tc>
      </w:tr>
      <w:tr w:rsidR="00A94A10" w:rsidRPr="00636169" w14:paraId="44DC7E68" w14:textId="77777777" w:rsidTr="00BE68EC">
        <w:trPr>
          <w:gridAfter w:val="1"/>
          <w:wAfter w:w="1560" w:type="dxa"/>
        </w:trPr>
        <w:tc>
          <w:tcPr>
            <w:tcW w:w="1913" w:type="dxa"/>
            <w:vAlign w:val="center"/>
          </w:tcPr>
          <w:p w14:paraId="5C804822" w14:textId="77777777" w:rsidR="00A94A10" w:rsidRPr="009C7364" w:rsidRDefault="00A94A10" w:rsidP="00BE68EC">
            <w:pPr>
              <w:rPr>
                <w:b/>
                <w:bCs/>
                <w:sz w:val="15"/>
                <w:szCs w:val="15"/>
              </w:rPr>
            </w:pPr>
            <w:r w:rsidRPr="009C7364">
              <w:rPr>
                <w:sz w:val="15"/>
                <w:szCs w:val="15"/>
              </w:rPr>
              <w:t xml:space="preserve"> Separated/divorced</w:t>
            </w:r>
          </w:p>
        </w:tc>
        <w:tc>
          <w:tcPr>
            <w:tcW w:w="1773" w:type="dxa"/>
            <w:vAlign w:val="center"/>
          </w:tcPr>
          <w:p w14:paraId="405C2D13" w14:textId="6BF0C28C" w:rsidR="00A94A10" w:rsidRDefault="00A94A10" w:rsidP="00BE68EC">
            <w:pPr>
              <w:jc w:val="center"/>
              <w:rPr>
                <w:sz w:val="15"/>
                <w:szCs w:val="15"/>
              </w:rPr>
            </w:pPr>
            <w:r>
              <w:rPr>
                <w:sz w:val="15"/>
                <w:szCs w:val="15"/>
              </w:rPr>
              <w:t>0.00</w:t>
            </w:r>
            <w:r w:rsidR="00E86053">
              <w:rPr>
                <w:sz w:val="15"/>
                <w:szCs w:val="15"/>
              </w:rPr>
              <w:t>6</w:t>
            </w:r>
          </w:p>
          <w:p w14:paraId="2B39FAE2" w14:textId="174DB472" w:rsidR="00A94A10" w:rsidRPr="009C7364" w:rsidRDefault="00A94A10" w:rsidP="00BE68EC">
            <w:pPr>
              <w:jc w:val="center"/>
              <w:rPr>
                <w:sz w:val="15"/>
                <w:szCs w:val="15"/>
              </w:rPr>
            </w:pPr>
            <w:r>
              <w:rPr>
                <w:sz w:val="15"/>
                <w:szCs w:val="15"/>
              </w:rPr>
              <w:t>(0.0</w:t>
            </w:r>
            <w:r w:rsidR="00E86053">
              <w:rPr>
                <w:sz w:val="15"/>
                <w:szCs w:val="15"/>
              </w:rPr>
              <w:t>13</w:t>
            </w:r>
            <w:r>
              <w:rPr>
                <w:sz w:val="15"/>
                <w:szCs w:val="15"/>
              </w:rPr>
              <w:t>)</w:t>
            </w:r>
          </w:p>
        </w:tc>
        <w:tc>
          <w:tcPr>
            <w:tcW w:w="1984" w:type="dxa"/>
            <w:tcBorders>
              <w:right w:val="single" w:sz="4" w:space="0" w:color="auto"/>
            </w:tcBorders>
            <w:vAlign w:val="center"/>
          </w:tcPr>
          <w:p w14:paraId="6A5A86CB" w14:textId="42337D97" w:rsidR="00A94A10" w:rsidRDefault="00A94A10" w:rsidP="00BE68EC">
            <w:pPr>
              <w:jc w:val="center"/>
              <w:rPr>
                <w:sz w:val="15"/>
                <w:szCs w:val="15"/>
              </w:rPr>
            </w:pPr>
            <w:r>
              <w:rPr>
                <w:sz w:val="15"/>
                <w:szCs w:val="15"/>
              </w:rPr>
              <w:t>0.00</w:t>
            </w:r>
            <w:r w:rsidR="00CA22FA">
              <w:rPr>
                <w:sz w:val="15"/>
                <w:szCs w:val="15"/>
              </w:rPr>
              <w:t>7</w:t>
            </w:r>
          </w:p>
          <w:p w14:paraId="2DF1F9A8" w14:textId="33E53ADF" w:rsidR="00A94A10" w:rsidRPr="00636169" w:rsidRDefault="00A94A10" w:rsidP="00BE68EC">
            <w:pPr>
              <w:jc w:val="center"/>
              <w:rPr>
                <w:sz w:val="15"/>
                <w:szCs w:val="15"/>
              </w:rPr>
            </w:pPr>
            <w:r>
              <w:rPr>
                <w:sz w:val="15"/>
                <w:szCs w:val="15"/>
              </w:rPr>
              <w:t>(0.0</w:t>
            </w:r>
            <w:r w:rsidR="00CA22FA">
              <w:rPr>
                <w:sz w:val="15"/>
                <w:szCs w:val="15"/>
              </w:rPr>
              <w:t>11</w:t>
            </w:r>
            <w:r>
              <w:rPr>
                <w:sz w:val="15"/>
                <w:szCs w:val="15"/>
              </w:rPr>
              <w:t>)</w:t>
            </w:r>
          </w:p>
        </w:tc>
        <w:tc>
          <w:tcPr>
            <w:tcW w:w="1560" w:type="dxa"/>
            <w:tcBorders>
              <w:left w:val="single" w:sz="4" w:space="0" w:color="auto"/>
            </w:tcBorders>
            <w:vAlign w:val="center"/>
          </w:tcPr>
          <w:p w14:paraId="370368B1" w14:textId="129ECD4C" w:rsidR="00A94A10" w:rsidRDefault="00A94A10" w:rsidP="00BE68EC">
            <w:pPr>
              <w:jc w:val="center"/>
              <w:rPr>
                <w:sz w:val="15"/>
                <w:szCs w:val="15"/>
              </w:rPr>
            </w:pPr>
            <w:r>
              <w:rPr>
                <w:sz w:val="15"/>
                <w:szCs w:val="15"/>
              </w:rPr>
              <w:t>0.0</w:t>
            </w:r>
            <w:r w:rsidR="00A65D95">
              <w:rPr>
                <w:sz w:val="15"/>
                <w:szCs w:val="15"/>
              </w:rPr>
              <w:t>24</w:t>
            </w:r>
          </w:p>
          <w:p w14:paraId="18D40CCB" w14:textId="3C0A4AD5" w:rsidR="00A94A10" w:rsidRPr="00636169" w:rsidRDefault="00A94A10" w:rsidP="00BE68EC">
            <w:pPr>
              <w:jc w:val="center"/>
              <w:rPr>
                <w:sz w:val="15"/>
                <w:szCs w:val="15"/>
              </w:rPr>
            </w:pPr>
            <w:r>
              <w:rPr>
                <w:sz w:val="15"/>
                <w:szCs w:val="15"/>
              </w:rPr>
              <w:t>(0.0</w:t>
            </w:r>
            <w:r w:rsidR="00A65D95">
              <w:rPr>
                <w:sz w:val="15"/>
                <w:szCs w:val="15"/>
              </w:rPr>
              <w:t>20</w:t>
            </w:r>
            <w:r>
              <w:rPr>
                <w:sz w:val="15"/>
                <w:szCs w:val="15"/>
              </w:rPr>
              <w:t>)</w:t>
            </w:r>
          </w:p>
        </w:tc>
        <w:tc>
          <w:tcPr>
            <w:tcW w:w="1557" w:type="dxa"/>
            <w:vAlign w:val="center"/>
          </w:tcPr>
          <w:p w14:paraId="19FB8DF5" w14:textId="5F77DB6C" w:rsidR="00A94A10" w:rsidRDefault="00A94A10" w:rsidP="00BE68EC">
            <w:pPr>
              <w:jc w:val="center"/>
              <w:rPr>
                <w:sz w:val="15"/>
                <w:szCs w:val="15"/>
              </w:rPr>
            </w:pPr>
            <w:r>
              <w:rPr>
                <w:sz w:val="15"/>
                <w:szCs w:val="15"/>
              </w:rPr>
              <w:t>0.0</w:t>
            </w:r>
            <w:r w:rsidR="0056088B">
              <w:rPr>
                <w:sz w:val="15"/>
                <w:szCs w:val="15"/>
              </w:rPr>
              <w:t>25</w:t>
            </w:r>
          </w:p>
          <w:p w14:paraId="6281AB0C" w14:textId="02031B83" w:rsidR="00A94A10" w:rsidRPr="00636169" w:rsidRDefault="00A94A10" w:rsidP="00BE68EC">
            <w:pPr>
              <w:jc w:val="center"/>
              <w:rPr>
                <w:sz w:val="15"/>
                <w:szCs w:val="15"/>
              </w:rPr>
            </w:pPr>
            <w:r>
              <w:rPr>
                <w:sz w:val="15"/>
                <w:szCs w:val="15"/>
              </w:rPr>
              <w:t>(0.01</w:t>
            </w:r>
            <w:r w:rsidR="0056088B">
              <w:rPr>
                <w:sz w:val="15"/>
                <w:szCs w:val="15"/>
              </w:rPr>
              <w:t>9</w:t>
            </w:r>
            <w:r>
              <w:rPr>
                <w:sz w:val="15"/>
                <w:szCs w:val="15"/>
              </w:rPr>
              <w:t>)</w:t>
            </w:r>
          </w:p>
        </w:tc>
        <w:tc>
          <w:tcPr>
            <w:tcW w:w="239" w:type="dxa"/>
          </w:tcPr>
          <w:p w14:paraId="238BCA4C" w14:textId="77777777" w:rsidR="00A94A10" w:rsidRPr="00636169" w:rsidRDefault="00A94A10" w:rsidP="00BE68EC">
            <w:pPr>
              <w:jc w:val="center"/>
              <w:rPr>
                <w:sz w:val="16"/>
                <w:szCs w:val="16"/>
              </w:rPr>
            </w:pPr>
          </w:p>
        </w:tc>
      </w:tr>
      <w:tr w:rsidR="00A94A10" w:rsidRPr="00636169" w14:paraId="1C0FB6D7" w14:textId="77777777" w:rsidTr="00C30043">
        <w:trPr>
          <w:gridAfter w:val="1"/>
          <w:wAfter w:w="1560" w:type="dxa"/>
        </w:trPr>
        <w:tc>
          <w:tcPr>
            <w:tcW w:w="1913" w:type="dxa"/>
            <w:vAlign w:val="center"/>
          </w:tcPr>
          <w:p w14:paraId="59EA297B" w14:textId="77777777" w:rsidR="00A94A10" w:rsidRPr="009C7364" w:rsidRDefault="00A94A10" w:rsidP="00BE68EC">
            <w:pPr>
              <w:rPr>
                <w:b/>
                <w:bCs/>
                <w:sz w:val="15"/>
                <w:szCs w:val="15"/>
              </w:rPr>
            </w:pPr>
            <w:r w:rsidRPr="009C7364">
              <w:rPr>
                <w:sz w:val="15"/>
                <w:szCs w:val="15"/>
              </w:rPr>
              <w:t xml:space="preserve"> Widowed</w:t>
            </w:r>
          </w:p>
        </w:tc>
        <w:tc>
          <w:tcPr>
            <w:tcW w:w="1773" w:type="dxa"/>
            <w:shd w:val="clear" w:color="auto" w:fill="FAE2D5" w:themeFill="accent2" w:themeFillTint="33"/>
            <w:vAlign w:val="center"/>
          </w:tcPr>
          <w:p w14:paraId="07463B63" w14:textId="63DA5D3E" w:rsidR="00A94A10" w:rsidRPr="00E86053" w:rsidRDefault="00A94A10" w:rsidP="00BE68EC">
            <w:pPr>
              <w:jc w:val="center"/>
              <w:rPr>
                <w:sz w:val="15"/>
                <w:szCs w:val="15"/>
                <w:vertAlign w:val="superscript"/>
              </w:rPr>
            </w:pPr>
            <w:r>
              <w:rPr>
                <w:sz w:val="15"/>
                <w:szCs w:val="15"/>
              </w:rPr>
              <w:t>0.0</w:t>
            </w:r>
            <w:r w:rsidR="00E86053">
              <w:rPr>
                <w:sz w:val="15"/>
                <w:szCs w:val="15"/>
              </w:rPr>
              <w:t>41</w:t>
            </w:r>
            <w:r w:rsidR="00E86053">
              <w:rPr>
                <w:sz w:val="15"/>
                <w:szCs w:val="15"/>
                <w:vertAlign w:val="superscript"/>
              </w:rPr>
              <w:t>+</w:t>
            </w:r>
          </w:p>
          <w:p w14:paraId="2C61076E" w14:textId="51F5F58F" w:rsidR="00A94A10" w:rsidRPr="009C7364" w:rsidRDefault="00A94A10" w:rsidP="00BE68EC">
            <w:pPr>
              <w:jc w:val="center"/>
              <w:rPr>
                <w:sz w:val="15"/>
                <w:szCs w:val="15"/>
              </w:rPr>
            </w:pPr>
            <w:r>
              <w:rPr>
                <w:sz w:val="15"/>
                <w:szCs w:val="15"/>
              </w:rPr>
              <w:t>(0.0</w:t>
            </w:r>
            <w:r w:rsidR="00E86053">
              <w:rPr>
                <w:sz w:val="15"/>
                <w:szCs w:val="15"/>
              </w:rPr>
              <w:t>24</w:t>
            </w:r>
            <w:r>
              <w:rPr>
                <w:sz w:val="15"/>
                <w:szCs w:val="15"/>
              </w:rPr>
              <w:t>)</w:t>
            </w:r>
          </w:p>
        </w:tc>
        <w:tc>
          <w:tcPr>
            <w:tcW w:w="1984" w:type="dxa"/>
            <w:tcBorders>
              <w:right w:val="single" w:sz="4" w:space="0" w:color="auto"/>
            </w:tcBorders>
            <w:shd w:val="clear" w:color="auto" w:fill="FAE2D5" w:themeFill="accent2" w:themeFillTint="33"/>
            <w:vAlign w:val="center"/>
          </w:tcPr>
          <w:p w14:paraId="2166BEDC" w14:textId="73C2F9B2" w:rsidR="00A94A10" w:rsidRPr="000430A9" w:rsidRDefault="00A94A10" w:rsidP="00BE68EC">
            <w:pPr>
              <w:jc w:val="center"/>
              <w:rPr>
                <w:sz w:val="15"/>
                <w:szCs w:val="15"/>
                <w:vertAlign w:val="superscript"/>
              </w:rPr>
            </w:pPr>
            <w:r>
              <w:rPr>
                <w:sz w:val="15"/>
                <w:szCs w:val="15"/>
              </w:rPr>
              <w:t>0.0</w:t>
            </w:r>
            <w:r w:rsidR="00CA22FA">
              <w:rPr>
                <w:sz w:val="15"/>
                <w:szCs w:val="15"/>
              </w:rPr>
              <w:t>54*</w:t>
            </w:r>
          </w:p>
          <w:p w14:paraId="7DB4C4BA" w14:textId="74E64D4F" w:rsidR="00A94A10" w:rsidRPr="00636169" w:rsidRDefault="00A94A10" w:rsidP="00BE68EC">
            <w:pPr>
              <w:jc w:val="center"/>
              <w:rPr>
                <w:sz w:val="15"/>
                <w:szCs w:val="15"/>
              </w:rPr>
            </w:pPr>
            <w:r>
              <w:rPr>
                <w:sz w:val="15"/>
                <w:szCs w:val="15"/>
              </w:rPr>
              <w:t>(0.0</w:t>
            </w:r>
            <w:r w:rsidR="00CA22FA">
              <w:rPr>
                <w:sz w:val="15"/>
                <w:szCs w:val="15"/>
              </w:rPr>
              <w:t>24</w:t>
            </w:r>
            <w:r>
              <w:rPr>
                <w:sz w:val="15"/>
                <w:szCs w:val="15"/>
              </w:rPr>
              <w:t>)</w:t>
            </w:r>
          </w:p>
        </w:tc>
        <w:tc>
          <w:tcPr>
            <w:tcW w:w="1560" w:type="dxa"/>
            <w:tcBorders>
              <w:left w:val="single" w:sz="4" w:space="0" w:color="auto"/>
            </w:tcBorders>
            <w:shd w:val="clear" w:color="auto" w:fill="FAE2D5" w:themeFill="accent2" w:themeFillTint="33"/>
            <w:vAlign w:val="center"/>
          </w:tcPr>
          <w:p w14:paraId="1AEC065D" w14:textId="0DEFBF07" w:rsidR="00A94A10" w:rsidRDefault="00A94A10" w:rsidP="00BE68EC">
            <w:pPr>
              <w:jc w:val="center"/>
              <w:rPr>
                <w:sz w:val="15"/>
                <w:szCs w:val="15"/>
              </w:rPr>
            </w:pPr>
            <w:r>
              <w:rPr>
                <w:sz w:val="15"/>
                <w:szCs w:val="15"/>
              </w:rPr>
              <w:t>0.0</w:t>
            </w:r>
            <w:r w:rsidR="00A65D95">
              <w:rPr>
                <w:sz w:val="15"/>
                <w:szCs w:val="15"/>
              </w:rPr>
              <w:t>76</w:t>
            </w:r>
            <w:r>
              <w:rPr>
                <w:sz w:val="15"/>
                <w:szCs w:val="15"/>
              </w:rPr>
              <w:t>*</w:t>
            </w:r>
          </w:p>
          <w:p w14:paraId="6BBCDBC0" w14:textId="51F2647C" w:rsidR="00A94A10" w:rsidRPr="00636169" w:rsidRDefault="00A94A10" w:rsidP="00BE68EC">
            <w:pPr>
              <w:jc w:val="center"/>
              <w:rPr>
                <w:sz w:val="15"/>
                <w:szCs w:val="15"/>
              </w:rPr>
            </w:pPr>
            <w:r>
              <w:rPr>
                <w:sz w:val="15"/>
                <w:szCs w:val="15"/>
              </w:rPr>
              <w:t>(0.0</w:t>
            </w:r>
            <w:r w:rsidR="00D02AFE">
              <w:rPr>
                <w:sz w:val="15"/>
                <w:szCs w:val="15"/>
              </w:rPr>
              <w:t>32</w:t>
            </w:r>
            <w:r>
              <w:rPr>
                <w:sz w:val="15"/>
                <w:szCs w:val="15"/>
              </w:rPr>
              <w:t>)</w:t>
            </w:r>
          </w:p>
        </w:tc>
        <w:tc>
          <w:tcPr>
            <w:tcW w:w="1557" w:type="dxa"/>
            <w:shd w:val="clear" w:color="auto" w:fill="FAE2D5" w:themeFill="accent2" w:themeFillTint="33"/>
            <w:vAlign w:val="center"/>
          </w:tcPr>
          <w:p w14:paraId="474736E8" w14:textId="1CC1C661" w:rsidR="00A94A10" w:rsidRDefault="00A94A10" w:rsidP="00BE68EC">
            <w:pPr>
              <w:jc w:val="center"/>
              <w:rPr>
                <w:sz w:val="15"/>
                <w:szCs w:val="15"/>
              </w:rPr>
            </w:pPr>
            <w:r>
              <w:rPr>
                <w:sz w:val="15"/>
                <w:szCs w:val="15"/>
              </w:rPr>
              <w:t>0.0</w:t>
            </w:r>
            <w:r w:rsidR="0056088B">
              <w:rPr>
                <w:sz w:val="15"/>
                <w:szCs w:val="15"/>
              </w:rPr>
              <w:t>93</w:t>
            </w:r>
            <w:r>
              <w:rPr>
                <w:sz w:val="15"/>
                <w:szCs w:val="15"/>
              </w:rPr>
              <w:t>**</w:t>
            </w:r>
          </w:p>
          <w:p w14:paraId="12123A53" w14:textId="79FA920C" w:rsidR="00A94A10" w:rsidRPr="00636169" w:rsidRDefault="00A94A10" w:rsidP="00BE68EC">
            <w:pPr>
              <w:jc w:val="center"/>
              <w:rPr>
                <w:sz w:val="15"/>
                <w:szCs w:val="15"/>
              </w:rPr>
            </w:pPr>
            <w:r>
              <w:rPr>
                <w:sz w:val="15"/>
                <w:szCs w:val="15"/>
              </w:rPr>
              <w:t>(0.02</w:t>
            </w:r>
            <w:r w:rsidR="0056088B">
              <w:rPr>
                <w:sz w:val="15"/>
                <w:szCs w:val="15"/>
              </w:rPr>
              <w:t>9</w:t>
            </w:r>
            <w:r>
              <w:rPr>
                <w:sz w:val="15"/>
                <w:szCs w:val="15"/>
              </w:rPr>
              <w:t>)</w:t>
            </w:r>
          </w:p>
        </w:tc>
        <w:tc>
          <w:tcPr>
            <w:tcW w:w="239" w:type="dxa"/>
          </w:tcPr>
          <w:p w14:paraId="60544609" w14:textId="77777777" w:rsidR="00A94A10" w:rsidRPr="00636169" w:rsidRDefault="00A94A10" w:rsidP="00BE68EC">
            <w:pPr>
              <w:jc w:val="center"/>
              <w:rPr>
                <w:sz w:val="16"/>
                <w:szCs w:val="16"/>
              </w:rPr>
            </w:pPr>
          </w:p>
        </w:tc>
      </w:tr>
      <w:tr w:rsidR="00A94A10" w:rsidRPr="00636169" w14:paraId="74B8A257" w14:textId="77777777" w:rsidTr="00BE68EC">
        <w:trPr>
          <w:gridAfter w:val="1"/>
          <w:wAfter w:w="1560" w:type="dxa"/>
        </w:trPr>
        <w:tc>
          <w:tcPr>
            <w:tcW w:w="1913" w:type="dxa"/>
            <w:vAlign w:val="center"/>
          </w:tcPr>
          <w:p w14:paraId="21E61B57" w14:textId="77777777" w:rsidR="00A94A10" w:rsidRPr="009C7364" w:rsidRDefault="00A94A10" w:rsidP="00BE68EC">
            <w:pPr>
              <w:rPr>
                <w:b/>
                <w:bCs/>
                <w:sz w:val="15"/>
                <w:szCs w:val="15"/>
              </w:rPr>
            </w:pPr>
            <w:r w:rsidRPr="009C7364">
              <w:rPr>
                <w:sz w:val="15"/>
                <w:szCs w:val="15"/>
              </w:rPr>
              <w:t>Has children under 18</w:t>
            </w:r>
          </w:p>
        </w:tc>
        <w:tc>
          <w:tcPr>
            <w:tcW w:w="1773" w:type="dxa"/>
            <w:vAlign w:val="center"/>
          </w:tcPr>
          <w:p w14:paraId="13B3AC27" w14:textId="734CEE72" w:rsidR="00A94A10" w:rsidRDefault="00A94A10" w:rsidP="00BE68EC">
            <w:pPr>
              <w:jc w:val="center"/>
              <w:rPr>
                <w:sz w:val="15"/>
                <w:szCs w:val="15"/>
              </w:rPr>
            </w:pPr>
            <w:r>
              <w:rPr>
                <w:sz w:val="15"/>
                <w:szCs w:val="15"/>
              </w:rPr>
              <w:t>0.00</w:t>
            </w:r>
            <w:r w:rsidR="00205D62">
              <w:rPr>
                <w:sz w:val="15"/>
                <w:szCs w:val="15"/>
              </w:rPr>
              <w:t>1</w:t>
            </w:r>
          </w:p>
          <w:p w14:paraId="6EE01BF2" w14:textId="4E75BEF0" w:rsidR="00A94A10" w:rsidRPr="009C7364" w:rsidRDefault="00A94A10" w:rsidP="00BE68EC">
            <w:pPr>
              <w:jc w:val="center"/>
              <w:rPr>
                <w:sz w:val="15"/>
                <w:szCs w:val="15"/>
              </w:rPr>
            </w:pPr>
            <w:r>
              <w:rPr>
                <w:sz w:val="15"/>
                <w:szCs w:val="15"/>
              </w:rPr>
              <w:t>(0.00</w:t>
            </w:r>
            <w:r w:rsidR="00205D62">
              <w:rPr>
                <w:sz w:val="15"/>
                <w:szCs w:val="15"/>
              </w:rPr>
              <w:t>7</w:t>
            </w:r>
            <w:r>
              <w:rPr>
                <w:sz w:val="15"/>
                <w:szCs w:val="15"/>
              </w:rPr>
              <w:t>)</w:t>
            </w:r>
          </w:p>
        </w:tc>
        <w:tc>
          <w:tcPr>
            <w:tcW w:w="1984" w:type="dxa"/>
            <w:tcBorders>
              <w:right w:val="single" w:sz="4" w:space="0" w:color="auto"/>
            </w:tcBorders>
            <w:vAlign w:val="center"/>
          </w:tcPr>
          <w:p w14:paraId="269D1391" w14:textId="77777777" w:rsidR="00A94A10" w:rsidRDefault="00A94A10" w:rsidP="00BE68EC">
            <w:pPr>
              <w:jc w:val="center"/>
              <w:rPr>
                <w:sz w:val="15"/>
                <w:szCs w:val="15"/>
              </w:rPr>
            </w:pPr>
            <w:r>
              <w:rPr>
                <w:sz w:val="15"/>
                <w:szCs w:val="15"/>
              </w:rPr>
              <w:t>0.002</w:t>
            </w:r>
          </w:p>
          <w:p w14:paraId="730476DE" w14:textId="4BF7657D" w:rsidR="00A94A10" w:rsidRPr="00636169" w:rsidRDefault="00A94A10" w:rsidP="00BE68EC">
            <w:pPr>
              <w:jc w:val="center"/>
              <w:rPr>
                <w:sz w:val="15"/>
                <w:szCs w:val="15"/>
              </w:rPr>
            </w:pPr>
            <w:r>
              <w:rPr>
                <w:sz w:val="15"/>
                <w:szCs w:val="15"/>
              </w:rPr>
              <w:t>(0.00</w:t>
            </w:r>
            <w:r w:rsidR="004D5228">
              <w:rPr>
                <w:sz w:val="15"/>
                <w:szCs w:val="15"/>
              </w:rPr>
              <w:t>6</w:t>
            </w:r>
            <w:r>
              <w:rPr>
                <w:sz w:val="15"/>
                <w:szCs w:val="15"/>
              </w:rPr>
              <w:t>)</w:t>
            </w:r>
          </w:p>
        </w:tc>
        <w:tc>
          <w:tcPr>
            <w:tcW w:w="1560" w:type="dxa"/>
            <w:tcBorders>
              <w:left w:val="single" w:sz="4" w:space="0" w:color="auto"/>
            </w:tcBorders>
            <w:vAlign w:val="center"/>
          </w:tcPr>
          <w:p w14:paraId="0D5110A6" w14:textId="6A81BAFF" w:rsidR="00A94A10" w:rsidRDefault="00A94A10" w:rsidP="00BE68EC">
            <w:pPr>
              <w:jc w:val="center"/>
              <w:rPr>
                <w:sz w:val="15"/>
                <w:szCs w:val="15"/>
              </w:rPr>
            </w:pPr>
            <w:r>
              <w:rPr>
                <w:sz w:val="15"/>
                <w:szCs w:val="15"/>
              </w:rPr>
              <w:t>-0.0</w:t>
            </w:r>
            <w:r w:rsidR="00D02AFE">
              <w:rPr>
                <w:sz w:val="15"/>
                <w:szCs w:val="15"/>
              </w:rPr>
              <w:t>16</w:t>
            </w:r>
          </w:p>
          <w:p w14:paraId="79F8564A" w14:textId="44F791F6" w:rsidR="00A94A10" w:rsidRPr="00636169" w:rsidRDefault="00A94A10" w:rsidP="00BE68EC">
            <w:pPr>
              <w:jc w:val="center"/>
              <w:rPr>
                <w:sz w:val="15"/>
                <w:szCs w:val="15"/>
              </w:rPr>
            </w:pPr>
            <w:r>
              <w:rPr>
                <w:sz w:val="15"/>
                <w:szCs w:val="15"/>
              </w:rPr>
              <w:t>(0.0</w:t>
            </w:r>
            <w:r w:rsidR="00D02AFE">
              <w:rPr>
                <w:sz w:val="15"/>
                <w:szCs w:val="15"/>
              </w:rPr>
              <w:t>11</w:t>
            </w:r>
            <w:r>
              <w:rPr>
                <w:sz w:val="15"/>
                <w:szCs w:val="15"/>
              </w:rPr>
              <w:t>)</w:t>
            </w:r>
          </w:p>
        </w:tc>
        <w:tc>
          <w:tcPr>
            <w:tcW w:w="1557" w:type="dxa"/>
            <w:vAlign w:val="center"/>
          </w:tcPr>
          <w:p w14:paraId="4713589B" w14:textId="2C99BBE5" w:rsidR="00A94A10" w:rsidRDefault="00A94A10" w:rsidP="00BE68EC">
            <w:pPr>
              <w:jc w:val="center"/>
              <w:rPr>
                <w:sz w:val="15"/>
                <w:szCs w:val="15"/>
              </w:rPr>
            </w:pPr>
            <w:r>
              <w:rPr>
                <w:sz w:val="15"/>
                <w:szCs w:val="15"/>
              </w:rPr>
              <w:t>-0.01</w:t>
            </w:r>
            <w:r w:rsidR="0056088B">
              <w:rPr>
                <w:sz w:val="15"/>
                <w:szCs w:val="15"/>
              </w:rPr>
              <w:t>4</w:t>
            </w:r>
          </w:p>
          <w:p w14:paraId="4C3B18BC" w14:textId="5B41F819" w:rsidR="00A94A10" w:rsidRPr="00636169" w:rsidRDefault="00A94A10" w:rsidP="00BE68EC">
            <w:pPr>
              <w:jc w:val="center"/>
              <w:rPr>
                <w:sz w:val="15"/>
                <w:szCs w:val="15"/>
              </w:rPr>
            </w:pPr>
            <w:r>
              <w:rPr>
                <w:sz w:val="15"/>
                <w:szCs w:val="15"/>
              </w:rPr>
              <w:t>(0.0</w:t>
            </w:r>
            <w:r w:rsidR="0056088B">
              <w:rPr>
                <w:sz w:val="15"/>
                <w:szCs w:val="15"/>
              </w:rPr>
              <w:t>10</w:t>
            </w:r>
            <w:r>
              <w:rPr>
                <w:sz w:val="15"/>
                <w:szCs w:val="15"/>
              </w:rPr>
              <w:t>)</w:t>
            </w:r>
          </w:p>
        </w:tc>
        <w:tc>
          <w:tcPr>
            <w:tcW w:w="239" w:type="dxa"/>
          </w:tcPr>
          <w:p w14:paraId="1230C9C1" w14:textId="77777777" w:rsidR="00A94A10" w:rsidRPr="00636169" w:rsidRDefault="00A94A10" w:rsidP="00BE68EC">
            <w:pPr>
              <w:jc w:val="center"/>
              <w:rPr>
                <w:sz w:val="16"/>
                <w:szCs w:val="16"/>
              </w:rPr>
            </w:pPr>
          </w:p>
        </w:tc>
      </w:tr>
      <w:tr w:rsidR="00A94A10" w:rsidRPr="00636169" w14:paraId="019A465D" w14:textId="77777777" w:rsidTr="00BE68EC">
        <w:trPr>
          <w:gridAfter w:val="1"/>
          <w:wAfter w:w="1560" w:type="dxa"/>
        </w:trPr>
        <w:tc>
          <w:tcPr>
            <w:tcW w:w="3686" w:type="dxa"/>
            <w:gridSpan w:val="2"/>
            <w:vAlign w:val="center"/>
          </w:tcPr>
          <w:p w14:paraId="6A38CA68" w14:textId="77777777" w:rsidR="00A94A10" w:rsidRPr="009C7364" w:rsidRDefault="00A94A10" w:rsidP="00BE68EC">
            <w:pPr>
              <w:rPr>
                <w:sz w:val="15"/>
                <w:szCs w:val="15"/>
              </w:rPr>
            </w:pPr>
            <w:r w:rsidRPr="00636169">
              <w:rPr>
                <w:i/>
                <w:iCs/>
                <w:sz w:val="15"/>
                <w:szCs w:val="15"/>
              </w:rPr>
              <w:t>Employment status (Ref: working)</w:t>
            </w:r>
          </w:p>
        </w:tc>
        <w:tc>
          <w:tcPr>
            <w:tcW w:w="1984" w:type="dxa"/>
            <w:tcBorders>
              <w:right w:val="single" w:sz="4" w:space="0" w:color="auto"/>
            </w:tcBorders>
            <w:vAlign w:val="center"/>
          </w:tcPr>
          <w:p w14:paraId="1FB9D9B7" w14:textId="77777777" w:rsidR="00A94A10" w:rsidRPr="00636169" w:rsidRDefault="00A94A10" w:rsidP="00BE68EC">
            <w:pPr>
              <w:rPr>
                <w:sz w:val="15"/>
                <w:szCs w:val="15"/>
              </w:rPr>
            </w:pPr>
          </w:p>
        </w:tc>
        <w:tc>
          <w:tcPr>
            <w:tcW w:w="1560" w:type="dxa"/>
            <w:tcBorders>
              <w:left w:val="single" w:sz="4" w:space="0" w:color="auto"/>
            </w:tcBorders>
            <w:vAlign w:val="center"/>
          </w:tcPr>
          <w:p w14:paraId="37E20478" w14:textId="77777777" w:rsidR="00A94A10" w:rsidRPr="00636169" w:rsidRDefault="00A94A10" w:rsidP="00BE68EC">
            <w:pPr>
              <w:jc w:val="center"/>
              <w:rPr>
                <w:sz w:val="15"/>
                <w:szCs w:val="15"/>
              </w:rPr>
            </w:pPr>
          </w:p>
        </w:tc>
        <w:tc>
          <w:tcPr>
            <w:tcW w:w="1557" w:type="dxa"/>
            <w:vAlign w:val="center"/>
          </w:tcPr>
          <w:p w14:paraId="74D231E7" w14:textId="77777777" w:rsidR="00A94A10" w:rsidRPr="00636169" w:rsidRDefault="00A94A10" w:rsidP="00BE68EC">
            <w:pPr>
              <w:jc w:val="center"/>
              <w:rPr>
                <w:sz w:val="15"/>
                <w:szCs w:val="15"/>
              </w:rPr>
            </w:pPr>
          </w:p>
        </w:tc>
        <w:tc>
          <w:tcPr>
            <w:tcW w:w="239" w:type="dxa"/>
          </w:tcPr>
          <w:p w14:paraId="3ED1619B" w14:textId="77777777" w:rsidR="00A94A10" w:rsidRPr="00636169" w:rsidRDefault="00A94A10" w:rsidP="00BE68EC">
            <w:pPr>
              <w:jc w:val="center"/>
              <w:rPr>
                <w:sz w:val="16"/>
                <w:szCs w:val="16"/>
              </w:rPr>
            </w:pPr>
          </w:p>
        </w:tc>
      </w:tr>
      <w:tr w:rsidR="00A94A10" w:rsidRPr="00636169" w14:paraId="16FE85DE" w14:textId="77777777" w:rsidTr="00C30043">
        <w:trPr>
          <w:gridAfter w:val="1"/>
          <w:wAfter w:w="1560" w:type="dxa"/>
        </w:trPr>
        <w:tc>
          <w:tcPr>
            <w:tcW w:w="1913" w:type="dxa"/>
            <w:vAlign w:val="center"/>
          </w:tcPr>
          <w:p w14:paraId="168A031A" w14:textId="77777777" w:rsidR="00A94A10" w:rsidRPr="009C7364" w:rsidRDefault="00A94A10" w:rsidP="00BE68EC">
            <w:pPr>
              <w:rPr>
                <w:b/>
                <w:bCs/>
                <w:sz w:val="15"/>
                <w:szCs w:val="15"/>
              </w:rPr>
            </w:pPr>
            <w:r w:rsidRPr="009C7364">
              <w:rPr>
                <w:sz w:val="15"/>
                <w:szCs w:val="15"/>
              </w:rPr>
              <w:t xml:space="preserve"> Unemployed</w:t>
            </w:r>
          </w:p>
        </w:tc>
        <w:tc>
          <w:tcPr>
            <w:tcW w:w="1773" w:type="dxa"/>
            <w:shd w:val="clear" w:color="auto" w:fill="FAE2D5" w:themeFill="accent2" w:themeFillTint="33"/>
            <w:vAlign w:val="center"/>
          </w:tcPr>
          <w:p w14:paraId="47A5C175" w14:textId="498ECDB0" w:rsidR="00A94A10" w:rsidRDefault="00A94A10" w:rsidP="00BE68EC">
            <w:pPr>
              <w:jc w:val="center"/>
              <w:rPr>
                <w:sz w:val="15"/>
                <w:szCs w:val="15"/>
              </w:rPr>
            </w:pPr>
            <w:r>
              <w:rPr>
                <w:sz w:val="15"/>
                <w:szCs w:val="15"/>
              </w:rPr>
              <w:t>0.0</w:t>
            </w:r>
            <w:r w:rsidR="00205D62">
              <w:rPr>
                <w:sz w:val="15"/>
                <w:szCs w:val="15"/>
              </w:rPr>
              <w:t>28</w:t>
            </w:r>
            <w:r>
              <w:rPr>
                <w:sz w:val="15"/>
                <w:szCs w:val="15"/>
              </w:rPr>
              <w:t>*</w:t>
            </w:r>
          </w:p>
          <w:p w14:paraId="3CFB6FA5" w14:textId="7BE70823" w:rsidR="00A94A10" w:rsidRPr="009C7364" w:rsidRDefault="00A94A10" w:rsidP="00BE68EC">
            <w:pPr>
              <w:jc w:val="center"/>
              <w:rPr>
                <w:sz w:val="15"/>
                <w:szCs w:val="15"/>
              </w:rPr>
            </w:pPr>
            <w:r>
              <w:rPr>
                <w:sz w:val="15"/>
                <w:szCs w:val="15"/>
              </w:rPr>
              <w:t>(0.0</w:t>
            </w:r>
            <w:r w:rsidR="00205D62">
              <w:rPr>
                <w:sz w:val="15"/>
                <w:szCs w:val="15"/>
              </w:rPr>
              <w:t>10</w:t>
            </w:r>
            <w:r>
              <w:rPr>
                <w:sz w:val="15"/>
                <w:szCs w:val="15"/>
              </w:rPr>
              <w:t>)</w:t>
            </w:r>
          </w:p>
        </w:tc>
        <w:tc>
          <w:tcPr>
            <w:tcW w:w="1984" w:type="dxa"/>
            <w:tcBorders>
              <w:right w:val="single" w:sz="4" w:space="0" w:color="auto"/>
            </w:tcBorders>
            <w:shd w:val="clear" w:color="auto" w:fill="FAE2D5" w:themeFill="accent2" w:themeFillTint="33"/>
            <w:vAlign w:val="center"/>
          </w:tcPr>
          <w:p w14:paraId="14F6EFB3" w14:textId="77C1F575" w:rsidR="00A94A10" w:rsidRDefault="00A94A10" w:rsidP="00BE68EC">
            <w:pPr>
              <w:jc w:val="center"/>
              <w:rPr>
                <w:sz w:val="15"/>
                <w:szCs w:val="15"/>
              </w:rPr>
            </w:pPr>
            <w:r>
              <w:rPr>
                <w:sz w:val="15"/>
                <w:szCs w:val="15"/>
              </w:rPr>
              <w:t>0.0</w:t>
            </w:r>
            <w:r w:rsidR="00F95231">
              <w:rPr>
                <w:sz w:val="15"/>
                <w:szCs w:val="15"/>
              </w:rPr>
              <w:t>14</w:t>
            </w:r>
          </w:p>
          <w:p w14:paraId="605668F0" w14:textId="7D94A4CC" w:rsidR="00A94A10" w:rsidRPr="00636169" w:rsidRDefault="00A94A10" w:rsidP="00BE68EC">
            <w:pPr>
              <w:jc w:val="center"/>
              <w:rPr>
                <w:sz w:val="15"/>
                <w:szCs w:val="15"/>
              </w:rPr>
            </w:pPr>
            <w:r>
              <w:rPr>
                <w:sz w:val="15"/>
                <w:szCs w:val="15"/>
              </w:rPr>
              <w:t>(0.00</w:t>
            </w:r>
            <w:r w:rsidR="00F95231">
              <w:rPr>
                <w:sz w:val="15"/>
                <w:szCs w:val="15"/>
              </w:rPr>
              <w:t>9</w:t>
            </w:r>
            <w:r>
              <w:rPr>
                <w:sz w:val="15"/>
                <w:szCs w:val="15"/>
              </w:rPr>
              <w:t>)</w:t>
            </w:r>
          </w:p>
        </w:tc>
        <w:tc>
          <w:tcPr>
            <w:tcW w:w="1560" w:type="dxa"/>
            <w:tcBorders>
              <w:left w:val="single" w:sz="4" w:space="0" w:color="auto"/>
            </w:tcBorders>
            <w:shd w:val="clear" w:color="auto" w:fill="FAE2D5" w:themeFill="accent2" w:themeFillTint="33"/>
            <w:vAlign w:val="center"/>
          </w:tcPr>
          <w:p w14:paraId="6E04A0E4" w14:textId="2C7AA56B" w:rsidR="00A94A10" w:rsidRDefault="00A94A10" w:rsidP="00BE68EC">
            <w:pPr>
              <w:jc w:val="center"/>
              <w:rPr>
                <w:sz w:val="15"/>
                <w:szCs w:val="15"/>
              </w:rPr>
            </w:pPr>
            <w:r>
              <w:rPr>
                <w:sz w:val="15"/>
                <w:szCs w:val="15"/>
              </w:rPr>
              <w:t>0.04</w:t>
            </w:r>
            <w:r w:rsidR="00D02AFE">
              <w:rPr>
                <w:sz w:val="15"/>
                <w:szCs w:val="15"/>
              </w:rPr>
              <w:t>7</w:t>
            </w:r>
            <w:r>
              <w:rPr>
                <w:sz w:val="15"/>
                <w:szCs w:val="15"/>
              </w:rPr>
              <w:t>**</w:t>
            </w:r>
          </w:p>
          <w:p w14:paraId="429D45A3" w14:textId="0186D3DE" w:rsidR="00A94A10" w:rsidRPr="00636169" w:rsidRDefault="00A94A10" w:rsidP="00BE68EC">
            <w:pPr>
              <w:jc w:val="center"/>
              <w:rPr>
                <w:sz w:val="15"/>
                <w:szCs w:val="15"/>
              </w:rPr>
            </w:pPr>
            <w:r>
              <w:rPr>
                <w:sz w:val="15"/>
                <w:szCs w:val="15"/>
              </w:rPr>
              <w:t>(0.01</w:t>
            </w:r>
            <w:r w:rsidR="00056AC9">
              <w:rPr>
                <w:sz w:val="15"/>
                <w:szCs w:val="15"/>
              </w:rPr>
              <w:t>7</w:t>
            </w:r>
            <w:r>
              <w:rPr>
                <w:sz w:val="15"/>
                <w:szCs w:val="15"/>
              </w:rPr>
              <w:t>)</w:t>
            </w:r>
          </w:p>
        </w:tc>
        <w:tc>
          <w:tcPr>
            <w:tcW w:w="1557" w:type="dxa"/>
            <w:shd w:val="clear" w:color="auto" w:fill="FAE2D5" w:themeFill="accent2" w:themeFillTint="33"/>
            <w:vAlign w:val="center"/>
          </w:tcPr>
          <w:p w14:paraId="26854CF7" w14:textId="244933B6" w:rsidR="00A94A10" w:rsidRDefault="00A94A10" w:rsidP="00BE68EC">
            <w:pPr>
              <w:jc w:val="center"/>
              <w:rPr>
                <w:sz w:val="15"/>
                <w:szCs w:val="15"/>
              </w:rPr>
            </w:pPr>
            <w:r>
              <w:rPr>
                <w:sz w:val="15"/>
                <w:szCs w:val="15"/>
              </w:rPr>
              <w:t>0.02</w:t>
            </w:r>
            <w:r w:rsidR="00AB7264">
              <w:rPr>
                <w:sz w:val="15"/>
                <w:szCs w:val="15"/>
              </w:rPr>
              <w:t>2</w:t>
            </w:r>
            <w:r>
              <w:rPr>
                <w:sz w:val="15"/>
                <w:szCs w:val="15"/>
              </w:rPr>
              <w:t>*</w:t>
            </w:r>
          </w:p>
          <w:p w14:paraId="62E675E5" w14:textId="0111C71B" w:rsidR="00A94A10" w:rsidRPr="00636169" w:rsidRDefault="00A94A10" w:rsidP="00BE68EC">
            <w:pPr>
              <w:jc w:val="center"/>
              <w:rPr>
                <w:sz w:val="15"/>
                <w:szCs w:val="15"/>
              </w:rPr>
            </w:pPr>
            <w:r>
              <w:rPr>
                <w:sz w:val="15"/>
                <w:szCs w:val="15"/>
              </w:rPr>
              <w:t>(0.01</w:t>
            </w:r>
            <w:r w:rsidR="00AB7264">
              <w:rPr>
                <w:sz w:val="15"/>
                <w:szCs w:val="15"/>
              </w:rPr>
              <w:t>5</w:t>
            </w:r>
            <w:r>
              <w:rPr>
                <w:sz w:val="15"/>
                <w:szCs w:val="15"/>
              </w:rPr>
              <w:t>)</w:t>
            </w:r>
          </w:p>
        </w:tc>
        <w:tc>
          <w:tcPr>
            <w:tcW w:w="239" w:type="dxa"/>
          </w:tcPr>
          <w:p w14:paraId="3E45CE0C" w14:textId="77777777" w:rsidR="00A94A10" w:rsidRPr="00636169" w:rsidRDefault="00A94A10" w:rsidP="00BE68EC">
            <w:pPr>
              <w:jc w:val="center"/>
              <w:rPr>
                <w:sz w:val="16"/>
                <w:szCs w:val="16"/>
              </w:rPr>
            </w:pPr>
          </w:p>
        </w:tc>
      </w:tr>
      <w:tr w:rsidR="00A94A10" w:rsidRPr="00636169" w14:paraId="11E34693" w14:textId="77777777" w:rsidTr="00BE68EC">
        <w:trPr>
          <w:gridAfter w:val="1"/>
          <w:wAfter w:w="1560" w:type="dxa"/>
        </w:trPr>
        <w:tc>
          <w:tcPr>
            <w:tcW w:w="1913" w:type="dxa"/>
            <w:vAlign w:val="center"/>
          </w:tcPr>
          <w:p w14:paraId="3D625184" w14:textId="77777777" w:rsidR="00A94A10" w:rsidRPr="009C7364" w:rsidRDefault="00A94A10" w:rsidP="00BE68EC">
            <w:pPr>
              <w:rPr>
                <w:b/>
                <w:bCs/>
                <w:sz w:val="15"/>
                <w:szCs w:val="15"/>
              </w:rPr>
            </w:pPr>
            <w:r w:rsidRPr="009C7364">
              <w:rPr>
                <w:sz w:val="15"/>
                <w:szCs w:val="15"/>
              </w:rPr>
              <w:t xml:space="preserve"> Student</w:t>
            </w:r>
          </w:p>
        </w:tc>
        <w:tc>
          <w:tcPr>
            <w:tcW w:w="1773" w:type="dxa"/>
            <w:vAlign w:val="center"/>
          </w:tcPr>
          <w:p w14:paraId="7FDE13CF" w14:textId="54539BED" w:rsidR="00A94A10" w:rsidRPr="00BA0EE5" w:rsidRDefault="00A94A10" w:rsidP="00BE68EC">
            <w:pPr>
              <w:jc w:val="center"/>
              <w:rPr>
                <w:sz w:val="15"/>
                <w:szCs w:val="15"/>
                <w:vertAlign w:val="superscript"/>
              </w:rPr>
            </w:pPr>
            <w:r>
              <w:rPr>
                <w:sz w:val="15"/>
                <w:szCs w:val="15"/>
              </w:rPr>
              <w:t>0.02</w:t>
            </w:r>
            <w:r w:rsidR="00D77684">
              <w:rPr>
                <w:sz w:val="15"/>
                <w:szCs w:val="15"/>
              </w:rPr>
              <w:t>1</w:t>
            </w:r>
          </w:p>
          <w:p w14:paraId="05AAEAC2" w14:textId="3ECC578A" w:rsidR="00A94A10" w:rsidRPr="009C7364" w:rsidRDefault="00A94A10" w:rsidP="00BE68EC">
            <w:pPr>
              <w:jc w:val="center"/>
              <w:rPr>
                <w:sz w:val="15"/>
                <w:szCs w:val="15"/>
              </w:rPr>
            </w:pPr>
            <w:r>
              <w:rPr>
                <w:sz w:val="15"/>
                <w:szCs w:val="15"/>
              </w:rPr>
              <w:t>(0.01</w:t>
            </w:r>
            <w:r w:rsidR="00D77684">
              <w:rPr>
                <w:sz w:val="15"/>
                <w:szCs w:val="15"/>
              </w:rPr>
              <w:t>4</w:t>
            </w:r>
            <w:r>
              <w:rPr>
                <w:sz w:val="15"/>
                <w:szCs w:val="15"/>
              </w:rPr>
              <w:t>)</w:t>
            </w:r>
          </w:p>
        </w:tc>
        <w:tc>
          <w:tcPr>
            <w:tcW w:w="1984" w:type="dxa"/>
            <w:tcBorders>
              <w:right w:val="single" w:sz="4" w:space="0" w:color="auto"/>
            </w:tcBorders>
            <w:vAlign w:val="center"/>
          </w:tcPr>
          <w:p w14:paraId="08FCC003" w14:textId="223C9570" w:rsidR="00A94A10" w:rsidRDefault="00A94A10" w:rsidP="00BE68EC">
            <w:pPr>
              <w:jc w:val="center"/>
              <w:rPr>
                <w:sz w:val="15"/>
                <w:szCs w:val="15"/>
              </w:rPr>
            </w:pPr>
            <w:r>
              <w:rPr>
                <w:sz w:val="15"/>
                <w:szCs w:val="15"/>
              </w:rPr>
              <w:t>0.01</w:t>
            </w:r>
            <w:r w:rsidR="00F95231">
              <w:rPr>
                <w:sz w:val="15"/>
                <w:szCs w:val="15"/>
              </w:rPr>
              <w:t>7</w:t>
            </w:r>
          </w:p>
          <w:p w14:paraId="635EFB05" w14:textId="1EABA470" w:rsidR="00A94A10" w:rsidRPr="00636169" w:rsidRDefault="00A94A10" w:rsidP="00BE68EC">
            <w:pPr>
              <w:jc w:val="center"/>
              <w:rPr>
                <w:sz w:val="15"/>
                <w:szCs w:val="15"/>
              </w:rPr>
            </w:pPr>
            <w:r>
              <w:rPr>
                <w:sz w:val="15"/>
                <w:szCs w:val="15"/>
              </w:rPr>
              <w:t>(0.01</w:t>
            </w:r>
            <w:r w:rsidR="00F95231">
              <w:rPr>
                <w:sz w:val="15"/>
                <w:szCs w:val="15"/>
              </w:rPr>
              <w:t>3</w:t>
            </w:r>
            <w:r>
              <w:rPr>
                <w:sz w:val="15"/>
                <w:szCs w:val="15"/>
              </w:rPr>
              <w:t>)</w:t>
            </w:r>
          </w:p>
        </w:tc>
        <w:tc>
          <w:tcPr>
            <w:tcW w:w="1560" w:type="dxa"/>
            <w:tcBorders>
              <w:left w:val="single" w:sz="4" w:space="0" w:color="auto"/>
            </w:tcBorders>
            <w:vAlign w:val="center"/>
          </w:tcPr>
          <w:p w14:paraId="4DD0D70B" w14:textId="067990D8" w:rsidR="00A94A10" w:rsidRDefault="00A94A10" w:rsidP="00BE68EC">
            <w:pPr>
              <w:jc w:val="center"/>
              <w:rPr>
                <w:sz w:val="15"/>
                <w:szCs w:val="15"/>
              </w:rPr>
            </w:pPr>
            <w:r>
              <w:rPr>
                <w:sz w:val="15"/>
                <w:szCs w:val="15"/>
              </w:rPr>
              <w:t>0.0</w:t>
            </w:r>
            <w:r w:rsidR="00056AC9">
              <w:rPr>
                <w:sz w:val="15"/>
                <w:szCs w:val="15"/>
              </w:rPr>
              <w:t>10</w:t>
            </w:r>
          </w:p>
          <w:p w14:paraId="5FD68DDF" w14:textId="4791E640" w:rsidR="00A94A10" w:rsidRPr="00636169" w:rsidRDefault="00A94A10" w:rsidP="00BE68EC">
            <w:pPr>
              <w:jc w:val="center"/>
              <w:rPr>
                <w:sz w:val="15"/>
                <w:szCs w:val="15"/>
              </w:rPr>
            </w:pPr>
            <w:r>
              <w:rPr>
                <w:sz w:val="15"/>
                <w:szCs w:val="15"/>
              </w:rPr>
              <w:t>(0.0</w:t>
            </w:r>
            <w:r w:rsidR="00056AC9">
              <w:rPr>
                <w:sz w:val="15"/>
                <w:szCs w:val="15"/>
              </w:rPr>
              <w:t>22</w:t>
            </w:r>
            <w:r>
              <w:rPr>
                <w:sz w:val="15"/>
                <w:szCs w:val="15"/>
              </w:rPr>
              <w:t>)</w:t>
            </w:r>
          </w:p>
        </w:tc>
        <w:tc>
          <w:tcPr>
            <w:tcW w:w="1557" w:type="dxa"/>
            <w:vAlign w:val="center"/>
          </w:tcPr>
          <w:p w14:paraId="450D8BCA" w14:textId="5A481CA2" w:rsidR="00A94A10" w:rsidRDefault="00A94A10" w:rsidP="00BE68EC">
            <w:pPr>
              <w:jc w:val="center"/>
              <w:rPr>
                <w:sz w:val="15"/>
                <w:szCs w:val="15"/>
              </w:rPr>
            </w:pPr>
            <w:r>
              <w:rPr>
                <w:sz w:val="15"/>
                <w:szCs w:val="15"/>
              </w:rPr>
              <w:t>0.00</w:t>
            </w:r>
            <w:r w:rsidR="00AB7264">
              <w:rPr>
                <w:sz w:val="15"/>
                <w:szCs w:val="15"/>
              </w:rPr>
              <w:t>2</w:t>
            </w:r>
          </w:p>
          <w:p w14:paraId="33B88DD0" w14:textId="44009373" w:rsidR="00A94A10" w:rsidRPr="00636169" w:rsidRDefault="00A94A10" w:rsidP="00BE68EC">
            <w:pPr>
              <w:jc w:val="center"/>
              <w:rPr>
                <w:sz w:val="15"/>
                <w:szCs w:val="15"/>
              </w:rPr>
            </w:pPr>
            <w:r>
              <w:rPr>
                <w:sz w:val="15"/>
                <w:szCs w:val="15"/>
              </w:rPr>
              <w:t>(0.0</w:t>
            </w:r>
            <w:r w:rsidR="00AB7264">
              <w:rPr>
                <w:sz w:val="15"/>
                <w:szCs w:val="15"/>
              </w:rPr>
              <w:t>21</w:t>
            </w:r>
            <w:r>
              <w:rPr>
                <w:sz w:val="15"/>
                <w:szCs w:val="15"/>
              </w:rPr>
              <w:t>)</w:t>
            </w:r>
          </w:p>
        </w:tc>
        <w:tc>
          <w:tcPr>
            <w:tcW w:w="239" w:type="dxa"/>
          </w:tcPr>
          <w:p w14:paraId="4A253EB3" w14:textId="77777777" w:rsidR="00A94A10" w:rsidRPr="00636169" w:rsidRDefault="00A94A10" w:rsidP="00BE68EC">
            <w:pPr>
              <w:jc w:val="center"/>
              <w:rPr>
                <w:sz w:val="16"/>
                <w:szCs w:val="16"/>
              </w:rPr>
            </w:pPr>
          </w:p>
        </w:tc>
      </w:tr>
      <w:tr w:rsidR="00A94A10" w:rsidRPr="00636169" w14:paraId="78E8F1D2" w14:textId="77777777" w:rsidTr="00BE68EC">
        <w:trPr>
          <w:gridAfter w:val="1"/>
          <w:wAfter w:w="1560" w:type="dxa"/>
        </w:trPr>
        <w:tc>
          <w:tcPr>
            <w:tcW w:w="1913" w:type="dxa"/>
            <w:vAlign w:val="center"/>
          </w:tcPr>
          <w:p w14:paraId="57173E4E" w14:textId="77777777" w:rsidR="00A94A10" w:rsidRPr="009C7364" w:rsidRDefault="00A94A10" w:rsidP="00BE68EC">
            <w:pPr>
              <w:rPr>
                <w:b/>
                <w:bCs/>
                <w:sz w:val="15"/>
                <w:szCs w:val="15"/>
              </w:rPr>
            </w:pPr>
            <w:r w:rsidRPr="009C7364">
              <w:rPr>
                <w:sz w:val="15"/>
                <w:szCs w:val="15"/>
              </w:rPr>
              <w:t xml:space="preserve"> Retired</w:t>
            </w:r>
          </w:p>
        </w:tc>
        <w:tc>
          <w:tcPr>
            <w:tcW w:w="1773" w:type="dxa"/>
            <w:vAlign w:val="center"/>
          </w:tcPr>
          <w:p w14:paraId="31BE2C6D" w14:textId="03A5612D" w:rsidR="00A94A10" w:rsidRDefault="00A94A10" w:rsidP="00BE68EC">
            <w:pPr>
              <w:jc w:val="center"/>
              <w:rPr>
                <w:sz w:val="15"/>
                <w:szCs w:val="15"/>
              </w:rPr>
            </w:pPr>
            <w:r>
              <w:rPr>
                <w:sz w:val="15"/>
                <w:szCs w:val="15"/>
              </w:rPr>
              <w:t>-0.00</w:t>
            </w:r>
            <w:r w:rsidR="00D77684">
              <w:rPr>
                <w:sz w:val="15"/>
                <w:szCs w:val="15"/>
              </w:rPr>
              <w:t>9</w:t>
            </w:r>
          </w:p>
          <w:p w14:paraId="67BB0F43" w14:textId="77777777" w:rsidR="00A94A10" w:rsidRPr="009C7364" w:rsidRDefault="00A94A10" w:rsidP="00BE68EC">
            <w:pPr>
              <w:jc w:val="center"/>
              <w:rPr>
                <w:sz w:val="15"/>
                <w:szCs w:val="15"/>
              </w:rPr>
            </w:pPr>
            <w:r>
              <w:rPr>
                <w:sz w:val="15"/>
                <w:szCs w:val="15"/>
              </w:rPr>
              <w:t>(0.006)</w:t>
            </w:r>
          </w:p>
        </w:tc>
        <w:tc>
          <w:tcPr>
            <w:tcW w:w="1984" w:type="dxa"/>
            <w:tcBorders>
              <w:right w:val="single" w:sz="4" w:space="0" w:color="auto"/>
            </w:tcBorders>
            <w:vAlign w:val="center"/>
          </w:tcPr>
          <w:p w14:paraId="0E4569FD" w14:textId="209529E2" w:rsidR="00A94A10" w:rsidRPr="00F95231" w:rsidRDefault="00A94A10" w:rsidP="00BE68EC">
            <w:pPr>
              <w:jc w:val="center"/>
              <w:rPr>
                <w:sz w:val="15"/>
                <w:szCs w:val="15"/>
                <w:vertAlign w:val="superscript"/>
              </w:rPr>
            </w:pPr>
            <w:r>
              <w:rPr>
                <w:sz w:val="15"/>
                <w:szCs w:val="15"/>
              </w:rPr>
              <w:t>-0.0</w:t>
            </w:r>
            <w:r w:rsidR="00F95231">
              <w:rPr>
                <w:sz w:val="15"/>
                <w:szCs w:val="15"/>
              </w:rPr>
              <w:t>13</w:t>
            </w:r>
            <w:r w:rsidR="00F95231">
              <w:rPr>
                <w:sz w:val="15"/>
                <w:szCs w:val="15"/>
                <w:vertAlign w:val="superscript"/>
              </w:rPr>
              <w:t>+</w:t>
            </w:r>
          </w:p>
          <w:p w14:paraId="17FFD0ED" w14:textId="3BE6CEB8" w:rsidR="00A94A10" w:rsidRPr="00636169" w:rsidRDefault="00A94A10" w:rsidP="00BE68EC">
            <w:pPr>
              <w:jc w:val="center"/>
              <w:rPr>
                <w:sz w:val="15"/>
                <w:szCs w:val="15"/>
              </w:rPr>
            </w:pPr>
            <w:r>
              <w:rPr>
                <w:sz w:val="15"/>
                <w:szCs w:val="15"/>
              </w:rPr>
              <w:t>(0.00</w:t>
            </w:r>
            <w:r w:rsidR="00F95231">
              <w:rPr>
                <w:sz w:val="15"/>
                <w:szCs w:val="15"/>
              </w:rPr>
              <w:t>7</w:t>
            </w:r>
            <w:r>
              <w:rPr>
                <w:sz w:val="15"/>
                <w:szCs w:val="15"/>
              </w:rPr>
              <w:t>)</w:t>
            </w:r>
          </w:p>
        </w:tc>
        <w:tc>
          <w:tcPr>
            <w:tcW w:w="1560" w:type="dxa"/>
            <w:tcBorders>
              <w:left w:val="single" w:sz="4" w:space="0" w:color="auto"/>
            </w:tcBorders>
            <w:vAlign w:val="center"/>
          </w:tcPr>
          <w:p w14:paraId="4BFEC88C" w14:textId="48C08DE2" w:rsidR="00A94A10" w:rsidRDefault="00A94A10" w:rsidP="00BE68EC">
            <w:pPr>
              <w:jc w:val="center"/>
              <w:rPr>
                <w:sz w:val="15"/>
                <w:szCs w:val="15"/>
              </w:rPr>
            </w:pPr>
            <w:r>
              <w:rPr>
                <w:sz w:val="15"/>
                <w:szCs w:val="15"/>
              </w:rPr>
              <w:t>0.00</w:t>
            </w:r>
            <w:r w:rsidR="00056AC9">
              <w:rPr>
                <w:sz w:val="15"/>
                <w:szCs w:val="15"/>
              </w:rPr>
              <w:t>5</w:t>
            </w:r>
          </w:p>
          <w:p w14:paraId="08608266" w14:textId="62C6944D" w:rsidR="00A94A10" w:rsidRPr="00636169" w:rsidRDefault="00A94A10" w:rsidP="00BE68EC">
            <w:pPr>
              <w:jc w:val="center"/>
              <w:rPr>
                <w:sz w:val="15"/>
                <w:szCs w:val="15"/>
              </w:rPr>
            </w:pPr>
            <w:r>
              <w:rPr>
                <w:sz w:val="15"/>
                <w:szCs w:val="15"/>
              </w:rPr>
              <w:t>(0.01</w:t>
            </w:r>
            <w:r w:rsidR="00056AC9">
              <w:rPr>
                <w:sz w:val="15"/>
                <w:szCs w:val="15"/>
              </w:rPr>
              <w:t>5</w:t>
            </w:r>
            <w:r>
              <w:rPr>
                <w:sz w:val="15"/>
                <w:szCs w:val="15"/>
              </w:rPr>
              <w:t>)</w:t>
            </w:r>
          </w:p>
        </w:tc>
        <w:tc>
          <w:tcPr>
            <w:tcW w:w="1557" w:type="dxa"/>
            <w:vAlign w:val="center"/>
          </w:tcPr>
          <w:p w14:paraId="797726DE" w14:textId="616D8C12" w:rsidR="00A94A10" w:rsidRDefault="00A94A10" w:rsidP="00BE68EC">
            <w:pPr>
              <w:jc w:val="center"/>
              <w:rPr>
                <w:sz w:val="15"/>
                <w:szCs w:val="15"/>
              </w:rPr>
            </w:pPr>
            <w:r>
              <w:rPr>
                <w:sz w:val="15"/>
                <w:szCs w:val="15"/>
              </w:rPr>
              <w:t>0.00</w:t>
            </w:r>
            <w:r w:rsidR="00AB7264">
              <w:rPr>
                <w:sz w:val="15"/>
                <w:szCs w:val="15"/>
              </w:rPr>
              <w:t>02</w:t>
            </w:r>
          </w:p>
          <w:p w14:paraId="6B1B0C1B" w14:textId="14BC8253" w:rsidR="00A94A10" w:rsidRPr="00636169" w:rsidRDefault="00A94A10" w:rsidP="00BE68EC">
            <w:pPr>
              <w:jc w:val="center"/>
              <w:rPr>
                <w:sz w:val="15"/>
                <w:szCs w:val="15"/>
              </w:rPr>
            </w:pPr>
            <w:r>
              <w:rPr>
                <w:sz w:val="15"/>
                <w:szCs w:val="15"/>
              </w:rPr>
              <w:t>(0.01</w:t>
            </w:r>
            <w:r w:rsidR="00AB7264">
              <w:rPr>
                <w:sz w:val="15"/>
                <w:szCs w:val="15"/>
              </w:rPr>
              <w:t>4</w:t>
            </w:r>
            <w:r>
              <w:rPr>
                <w:sz w:val="15"/>
                <w:szCs w:val="15"/>
              </w:rPr>
              <w:t>)</w:t>
            </w:r>
          </w:p>
        </w:tc>
        <w:tc>
          <w:tcPr>
            <w:tcW w:w="239" w:type="dxa"/>
          </w:tcPr>
          <w:p w14:paraId="07AC5296" w14:textId="77777777" w:rsidR="00A94A10" w:rsidRPr="00636169" w:rsidRDefault="00A94A10" w:rsidP="00BE68EC">
            <w:pPr>
              <w:jc w:val="center"/>
              <w:rPr>
                <w:sz w:val="16"/>
                <w:szCs w:val="16"/>
              </w:rPr>
            </w:pPr>
          </w:p>
        </w:tc>
      </w:tr>
      <w:tr w:rsidR="00A94A10" w:rsidRPr="00636169" w14:paraId="2F86062E" w14:textId="77777777" w:rsidTr="00C30043">
        <w:trPr>
          <w:gridAfter w:val="1"/>
          <w:wAfter w:w="1560" w:type="dxa"/>
        </w:trPr>
        <w:tc>
          <w:tcPr>
            <w:tcW w:w="1913" w:type="dxa"/>
            <w:vAlign w:val="center"/>
          </w:tcPr>
          <w:p w14:paraId="1B92015F" w14:textId="77777777" w:rsidR="00A94A10" w:rsidRPr="009C7364" w:rsidRDefault="00A94A10" w:rsidP="00BE68EC">
            <w:pPr>
              <w:rPr>
                <w:b/>
                <w:bCs/>
                <w:sz w:val="15"/>
                <w:szCs w:val="15"/>
              </w:rPr>
            </w:pPr>
            <w:r w:rsidRPr="009C7364">
              <w:rPr>
                <w:sz w:val="15"/>
                <w:szCs w:val="15"/>
              </w:rPr>
              <w:t xml:space="preserve"> Looking after the home/other</w:t>
            </w:r>
          </w:p>
        </w:tc>
        <w:tc>
          <w:tcPr>
            <w:tcW w:w="1773" w:type="dxa"/>
            <w:shd w:val="clear" w:color="auto" w:fill="FAE2D5" w:themeFill="accent2" w:themeFillTint="33"/>
            <w:vAlign w:val="center"/>
          </w:tcPr>
          <w:p w14:paraId="4B4B6B8F" w14:textId="2FACF03E" w:rsidR="00A94A10" w:rsidRPr="00721F39" w:rsidRDefault="00A94A10" w:rsidP="00BE68EC">
            <w:pPr>
              <w:jc w:val="center"/>
              <w:rPr>
                <w:sz w:val="15"/>
                <w:szCs w:val="15"/>
                <w:vertAlign w:val="superscript"/>
              </w:rPr>
            </w:pPr>
            <w:r>
              <w:rPr>
                <w:sz w:val="15"/>
                <w:szCs w:val="15"/>
              </w:rPr>
              <w:t>0.0</w:t>
            </w:r>
            <w:r w:rsidR="009C1A58">
              <w:rPr>
                <w:sz w:val="15"/>
                <w:szCs w:val="15"/>
              </w:rPr>
              <w:t>19**</w:t>
            </w:r>
          </w:p>
          <w:p w14:paraId="276A22D2" w14:textId="35A63263" w:rsidR="00A94A10" w:rsidRPr="009C7364" w:rsidRDefault="00A94A10" w:rsidP="00BE68EC">
            <w:pPr>
              <w:jc w:val="center"/>
              <w:rPr>
                <w:sz w:val="15"/>
                <w:szCs w:val="15"/>
              </w:rPr>
            </w:pPr>
            <w:r>
              <w:rPr>
                <w:sz w:val="15"/>
                <w:szCs w:val="15"/>
              </w:rPr>
              <w:t>(0.00</w:t>
            </w:r>
            <w:r w:rsidR="009C1A58">
              <w:rPr>
                <w:sz w:val="15"/>
                <w:szCs w:val="15"/>
              </w:rPr>
              <w:t>7</w:t>
            </w:r>
            <w:r>
              <w:rPr>
                <w:sz w:val="15"/>
                <w:szCs w:val="15"/>
              </w:rPr>
              <w:t>)</w:t>
            </w:r>
          </w:p>
        </w:tc>
        <w:tc>
          <w:tcPr>
            <w:tcW w:w="1984" w:type="dxa"/>
            <w:tcBorders>
              <w:right w:val="single" w:sz="4" w:space="0" w:color="auto"/>
            </w:tcBorders>
            <w:shd w:val="clear" w:color="auto" w:fill="FAE2D5" w:themeFill="accent2" w:themeFillTint="33"/>
            <w:vAlign w:val="center"/>
          </w:tcPr>
          <w:p w14:paraId="2DC68BE9" w14:textId="1621ECC3" w:rsidR="00A94A10" w:rsidRPr="00FC1655" w:rsidRDefault="00A94A10" w:rsidP="00BE68EC">
            <w:pPr>
              <w:jc w:val="center"/>
              <w:rPr>
                <w:sz w:val="15"/>
                <w:szCs w:val="15"/>
                <w:vertAlign w:val="superscript"/>
              </w:rPr>
            </w:pPr>
            <w:r>
              <w:rPr>
                <w:sz w:val="15"/>
                <w:szCs w:val="15"/>
              </w:rPr>
              <w:t>0.0</w:t>
            </w:r>
            <w:r w:rsidR="00FC1655">
              <w:rPr>
                <w:sz w:val="15"/>
                <w:szCs w:val="15"/>
              </w:rPr>
              <w:t>11</w:t>
            </w:r>
            <w:r w:rsidR="00FC1655">
              <w:rPr>
                <w:sz w:val="15"/>
                <w:szCs w:val="15"/>
                <w:vertAlign w:val="superscript"/>
              </w:rPr>
              <w:t>+</w:t>
            </w:r>
          </w:p>
          <w:p w14:paraId="34F23745" w14:textId="34BDE021" w:rsidR="00A94A10" w:rsidRPr="00636169" w:rsidRDefault="00A94A10" w:rsidP="00BE68EC">
            <w:pPr>
              <w:jc w:val="center"/>
              <w:rPr>
                <w:sz w:val="15"/>
                <w:szCs w:val="15"/>
              </w:rPr>
            </w:pPr>
            <w:r>
              <w:rPr>
                <w:sz w:val="15"/>
                <w:szCs w:val="15"/>
              </w:rPr>
              <w:t>(0.00</w:t>
            </w:r>
            <w:r w:rsidR="00FC1655">
              <w:rPr>
                <w:sz w:val="15"/>
                <w:szCs w:val="15"/>
              </w:rPr>
              <w:t>6</w:t>
            </w:r>
            <w:r>
              <w:rPr>
                <w:sz w:val="15"/>
                <w:szCs w:val="15"/>
              </w:rPr>
              <w:t>)</w:t>
            </w:r>
          </w:p>
        </w:tc>
        <w:tc>
          <w:tcPr>
            <w:tcW w:w="1560" w:type="dxa"/>
            <w:tcBorders>
              <w:left w:val="single" w:sz="4" w:space="0" w:color="auto"/>
            </w:tcBorders>
            <w:shd w:val="clear" w:color="auto" w:fill="FAE2D5" w:themeFill="accent2" w:themeFillTint="33"/>
            <w:vAlign w:val="center"/>
          </w:tcPr>
          <w:p w14:paraId="4B3F32CC" w14:textId="42C3463D" w:rsidR="00A94A10" w:rsidRDefault="00A94A10" w:rsidP="00BE68EC">
            <w:pPr>
              <w:jc w:val="center"/>
              <w:rPr>
                <w:sz w:val="15"/>
                <w:szCs w:val="15"/>
              </w:rPr>
            </w:pPr>
            <w:r>
              <w:rPr>
                <w:sz w:val="15"/>
                <w:szCs w:val="15"/>
              </w:rPr>
              <w:t>0.0</w:t>
            </w:r>
            <w:r w:rsidR="00056AC9">
              <w:rPr>
                <w:sz w:val="15"/>
                <w:szCs w:val="15"/>
              </w:rPr>
              <w:t>31</w:t>
            </w:r>
            <w:r>
              <w:rPr>
                <w:sz w:val="15"/>
                <w:szCs w:val="15"/>
              </w:rPr>
              <w:t>**</w:t>
            </w:r>
          </w:p>
          <w:p w14:paraId="528CA90E" w14:textId="7E8423C3" w:rsidR="00A94A10" w:rsidRPr="00636169" w:rsidRDefault="00A94A10" w:rsidP="00BE68EC">
            <w:pPr>
              <w:jc w:val="center"/>
              <w:rPr>
                <w:sz w:val="15"/>
                <w:szCs w:val="15"/>
              </w:rPr>
            </w:pPr>
            <w:r>
              <w:rPr>
                <w:sz w:val="15"/>
                <w:szCs w:val="15"/>
              </w:rPr>
              <w:t>(0.0</w:t>
            </w:r>
            <w:r w:rsidR="00056AC9">
              <w:rPr>
                <w:sz w:val="15"/>
                <w:szCs w:val="15"/>
              </w:rPr>
              <w:t>12</w:t>
            </w:r>
            <w:r>
              <w:rPr>
                <w:sz w:val="15"/>
                <w:szCs w:val="15"/>
              </w:rPr>
              <w:t>)</w:t>
            </w:r>
          </w:p>
        </w:tc>
        <w:tc>
          <w:tcPr>
            <w:tcW w:w="1557" w:type="dxa"/>
            <w:shd w:val="clear" w:color="auto" w:fill="FAE2D5" w:themeFill="accent2" w:themeFillTint="33"/>
            <w:vAlign w:val="center"/>
          </w:tcPr>
          <w:p w14:paraId="793E5BF8" w14:textId="7E603584" w:rsidR="00A94A10" w:rsidRPr="005E0904" w:rsidRDefault="00A94A10" w:rsidP="00BE68EC">
            <w:pPr>
              <w:jc w:val="center"/>
              <w:rPr>
                <w:sz w:val="15"/>
                <w:szCs w:val="15"/>
                <w:vertAlign w:val="superscript"/>
              </w:rPr>
            </w:pPr>
            <w:r>
              <w:rPr>
                <w:sz w:val="15"/>
                <w:szCs w:val="15"/>
              </w:rPr>
              <w:t>0.01</w:t>
            </w:r>
            <w:r w:rsidR="00AB7264">
              <w:rPr>
                <w:sz w:val="15"/>
                <w:szCs w:val="15"/>
              </w:rPr>
              <w:t>8</w:t>
            </w:r>
          </w:p>
          <w:p w14:paraId="685B29C9" w14:textId="5B7BE4FC" w:rsidR="00A94A10" w:rsidRPr="00636169" w:rsidRDefault="00A94A10" w:rsidP="00BE68EC">
            <w:pPr>
              <w:jc w:val="center"/>
              <w:rPr>
                <w:sz w:val="15"/>
                <w:szCs w:val="15"/>
              </w:rPr>
            </w:pPr>
            <w:r>
              <w:rPr>
                <w:sz w:val="15"/>
                <w:szCs w:val="15"/>
              </w:rPr>
              <w:t>(0.0</w:t>
            </w:r>
            <w:r w:rsidR="00AB7264">
              <w:rPr>
                <w:sz w:val="15"/>
                <w:szCs w:val="15"/>
              </w:rPr>
              <w:t>11</w:t>
            </w:r>
            <w:r>
              <w:rPr>
                <w:sz w:val="15"/>
                <w:szCs w:val="15"/>
              </w:rPr>
              <w:t>)</w:t>
            </w:r>
          </w:p>
        </w:tc>
        <w:tc>
          <w:tcPr>
            <w:tcW w:w="239" w:type="dxa"/>
          </w:tcPr>
          <w:p w14:paraId="0C5EE50E" w14:textId="77777777" w:rsidR="00A94A10" w:rsidRPr="00636169" w:rsidRDefault="00A94A10" w:rsidP="00BE68EC">
            <w:pPr>
              <w:jc w:val="center"/>
              <w:rPr>
                <w:sz w:val="16"/>
                <w:szCs w:val="16"/>
              </w:rPr>
            </w:pPr>
          </w:p>
        </w:tc>
      </w:tr>
      <w:tr w:rsidR="00A94A10" w:rsidRPr="00636169" w14:paraId="29381860" w14:textId="77777777" w:rsidTr="00BE68EC">
        <w:trPr>
          <w:gridAfter w:val="1"/>
          <w:wAfter w:w="1560" w:type="dxa"/>
        </w:trPr>
        <w:tc>
          <w:tcPr>
            <w:tcW w:w="1913" w:type="dxa"/>
            <w:vAlign w:val="center"/>
          </w:tcPr>
          <w:p w14:paraId="43A7E01D" w14:textId="77777777" w:rsidR="00A94A10" w:rsidRPr="009C7364" w:rsidRDefault="00A94A10" w:rsidP="00BE68EC">
            <w:pPr>
              <w:rPr>
                <w:b/>
                <w:bCs/>
                <w:sz w:val="15"/>
                <w:szCs w:val="15"/>
              </w:rPr>
            </w:pPr>
            <w:r w:rsidRPr="009C7364">
              <w:rPr>
                <w:i/>
                <w:iCs/>
                <w:sz w:val="15"/>
                <w:szCs w:val="15"/>
              </w:rPr>
              <w:t>Region (Ref: Dublin)</w:t>
            </w:r>
          </w:p>
        </w:tc>
        <w:tc>
          <w:tcPr>
            <w:tcW w:w="1773" w:type="dxa"/>
            <w:vAlign w:val="center"/>
          </w:tcPr>
          <w:p w14:paraId="1A4D845D" w14:textId="77777777" w:rsidR="00A94A10" w:rsidRPr="009C7364" w:rsidRDefault="00A94A10" w:rsidP="00BE68EC">
            <w:pPr>
              <w:jc w:val="center"/>
              <w:rPr>
                <w:sz w:val="15"/>
                <w:szCs w:val="15"/>
              </w:rPr>
            </w:pPr>
          </w:p>
        </w:tc>
        <w:tc>
          <w:tcPr>
            <w:tcW w:w="1984" w:type="dxa"/>
            <w:tcBorders>
              <w:right w:val="single" w:sz="4" w:space="0" w:color="auto"/>
            </w:tcBorders>
            <w:vAlign w:val="center"/>
          </w:tcPr>
          <w:p w14:paraId="2ADBB6BB" w14:textId="77777777" w:rsidR="00A94A10" w:rsidRPr="00636169" w:rsidRDefault="00A94A10" w:rsidP="00BE68EC">
            <w:pPr>
              <w:jc w:val="center"/>
              <w:rPr>
                <w:sz w:val="15"/>
                <w:szCs w:val="15"/>
              </w:rPr>
            </w:pPr>
          </w:p>
        </w:tc>
        <w:tc>
          <w:tcPr>
            <w:tcW w:w="1560" w:type="dxa"/>
            <w:tcBorders>
              <w:left w:val="single" w:sz="4" w:space="0" w:color="auto"/>
            </w:tcBorders>
            <w:vAlign w:val="center"/>
          </w:tcPr>
          <w:p w14:paraId="49FE00B2" w14:textId="77777777" w:rsidR="00A94A10" w:rsidRPr="00636169" w:rsidRDefault="00A94A10" w:rsidP="00BE68EC">
            <w:pPr>
              <w:jc w:val="center"/>
              <w:rPr>
                <w:sz w:val="15"/>
                <w:szCs w:val="15"/>
              </w:rPr>
            </w:pPr>
          </w:p>
        </w:tc>
        <w:tc>
          <w:tcPr>
            <w:tcW w:w="1557" w:type="dxa"/>
            <w:vAlign w:val="center"/>
          </w:tcPr>
          <w:p w14:paraId="306D818F" w14:textId="77777777" w:rsidR="00A94A10" w:rsidRPr="00636169" w:rsidRDefault="00A94A10" w:rsidP="00BE68EC">
            <w:pPr>
              <w:jc w:val="center"/>
              <w:rPr>
                <w:sz w:val="15"/>
                <w:szCs w:val="15"/>
              </w:rPr>
            </w:pPr>
          </w:p>
        </w:tc>
        <w:tc>
          <w:tcPr>
            <w:tcW w:w="239" w:type="dxa"/>
          </w:tcPr>
          <w:p w14:paraId="74101D11" w14:textId="77777777" w:rsidR="00A94A10" w:rsidRPr="00636169" w:rsidRDefault="00A94A10" w:rsidP="00BE68EC">
            <w:pPr>
              <w:jc w:val="center"/>
              <w:rPr>
                <w:sz w:val="16"/>
                <w:szCs w:val="16"/>
              </w:rPr>
            </w:pPr>
          </w:p>
        </w:tc>
      </w:tr>
      <w:tr w:rsidR="00A94A10" w:rsidRPr="00636169" w14:paraId="4A1CFAF0" w14:textId="77777777" w:rsidTr="00BE68EC">
        <w:trPr>
          <w:gridAfter w:val="1"/>
          <w:wAfter w:w="1560" w:type="dxa"/>
        </w:trPr>
        <w:tc>
          <w:tcPr>
            <w:tcW w:w="1913" w:type="dxa"/>
            <w:vAlign w:val="center"/>
          </w:tcPr>
          <w:p w14:paraId="680BF6CF" w14:textId="77777777" w:rsidR="00A94A10" w:rsidRPr="009C7364" w:rsidRDefault="00A94A10" w:rsidP="00BE68EC">
            <w:pPr>
              <w:rPr>
                <w:b/>
                <w:bCs/>
                <w:sz w:val="15"/>
                <w:szCs w:val="15"/>
              </w:rPr>
            </w:pPr>
            <w:r w:rsidRPr="009C7364">
              <w:rPr>
                <w:sz w:val="15"/>
                <w:szCs w:val="15"/>
              </w:rPr>
              <w:t xml:space="preserve"> Rest of Leinster</w:t>
            </w:r>
          </w:p>
        </w:tc>
        <w:tc>
          <w:tcPr>
            <w:tcW w:w="1773" w:type="dxa"/>
            <w:vAlign w:val="center"/>
          </w:tcPr>
          <w:p w14:paraId="2E085E88" w14:textId="66E96BCB" w:rsidR="00A94A10" w:rsidRDefault="00A94A10" w:rsidP="00BE68EC">
            <w:pPr>
              <w:jc w:val="center"/>
              <w:rPr>
                <w:sz w:val="15"/>
                <w:szCs w:val="15"/>
              </w:rPr>
            </w:pPr>
            <w:r>
              <w:rPr>
                <w:sz w:val="15"/>
                <w:szCs w:val="15"/>
              </w:rPr>
              <w:t>-0.000</w:t>
            </w:r>
            <w:r w:rsidR="009C1A58">
              <w:rPr>
                <w:sz w:val="15"/>
                <w:szCs w:val="15"/>
              </w:rPr>
              <w:t>2</w:t>
            </w:r>
          </w:p>
          <w:p w14:paraId="121F6080" w14:textId="5DD02F7B" w:rsidR="00A94A10" w:rsidRPr="009C7364" w:rsidRDefault="00A94A10" w:rsidP="00BE68EC">
            <w:pPr>
              <w:jc w:val="center"/>
              <w:rPr>
                <w:sz w:val="15"/>
                <w:szCs w:val="15"/>
              </w:rPr>
            </w:pPr>
            <w:r>
              <w:rPr>
                <w:sz w:val="15"/>
                <w:szCs w:val="15"/>
              </w:rPr>
              <w:t>(0.00</w:t>
            </w:r>
            <w:r w:rsidR="009C1A58">
              <w:rPr>
                <w:sz w:val="15"/>
                <w:szCs w:val="15"/>
              </w:rPr>
              <w:t>6</w:t>
            </w:r>
            <w:r>
              <w:rPr>
                <w:sz w:val="15"/>
                <w:szCs w:val="15"/>
              </w:rPr>
              <w:t>)</w:t>
            </w:r>
          </w:p>
        </w:tc>
        <w:tc>
          <w:tcPr>
            <w:tcW w:w="1984" w:type="dxa"/>
            <w:tcBorders>
              <w:right w:val="single" w:sz="4" w:space="0" w:color="auto"/>
            </w:tcBorders>
            <w:vAlign w:val="center"/>
          </w:tcPr>
          <w:p w14:paraId="58C5C0DA" w14:textId="0F34E805" w:rsidR="00A94A10" w:rsidRDefault="00A94A10" w:rsidP="00BE68EC">
            <w:pPr>
              <w:jc w:val="center"/>
              <w:rPr>
                <w:sz w:val="15"/>
                <w:szCs w:val="15"/>
              </w:rPr>
            </w:pPr>
            <w:r>
              <w:rPr>
                <w:sz w:val="15"/>
                <w:szCs w:val="15"/>
              </w:rPr>
              <w:t>0.00</w:t>
            </w:r>
            <w:r w:rsidR="00B17FB2">
              <w:rPr>
                <w:sz w:val="15"/>
                <w:szCs w:val="15"/>
              </w:rPr>
              <w:t>4</w:t>
            </w:r>
          </w:p>
          <w:p w14:paraId="3584476F" w14:textId="055DA3BE" w:rsidR="00A94A10" w:rsidRPr="00636169" w:rsidRDefault="00A94A10" w:rsidP="00BE68EC">
            <w:pPr>
              <w:jc w:val="center"/>
              <w:rPr>
                <w:sz w:val="15"/>
                <w:szCs w:val="15"/>
              </w:rPr>
            </w:pPr>
            <w:r>
              <w:rPr>
                <w:sz w:val="15"/>
                <w:szCs w:val="15"/>
              </w:rPr>
              <w:t>(0.00</w:t>
            </w:r>
            <w:r w:rsidR="00B17FB2">
              <w:rPr>
                <w:sz w:val="15"/>
                <w:szCs w:val="15"/>
              </w:rPr>
              <w:t>6</w:t>
            </w:r>
            <w:r>
              <w:rPr>
                <w:sz w:val="15"/>
                <w:szCs w:val="15"/>
              </w:rPr>
              <w:t>)</w:t>
            </w:r>
          </w:p>
        </w:tc>
        <w:tc>
          <w:tcPr>
            <w:tcW w:w="1560" w:type="dxa"/>
            <w:tcBorders>
              <w:left w:val="single" w:sz="4" w:space="0" w:color="auto"/>
            </w:tcBorders>
            <w:vAlign w:val="center"/>
          </w:tcPr>
          <w:p w14:paraId="2EB537CE" w14:textId="1B46FE1F" w:rsidR="00A94A10" w:rsidRDefault="00A94A10" w:rsidP="00BE68EC">
            <w:pPr>
              <w:jc w:val="center"/>
              <w:rPr>
                <w:sz w:val="15"/>
                <w:szCs w:val="15"/>
              </w:rPr>
            </w:pPr>
            <w:r>
              <w:rPr>
                <w:sz w:val="15"/>
                <w:szCs w:val="15"/>
              </w:rPr>
              <w:t>-0.0</w:t>
            </w:r>
            <w:r w:rsidR="00B42402">
              <w:rPr>
                <w:sz w:val="15"/>
                <w:szCs w:val="15"/>
              </w:rPr>
              <w:t>16</w:t>
            </w:r>
          </w:p>
          <w:p w14:paraId="792AA270" w14:textId="301A6B7A" w:rsidR="00A94A10" w:rsidRPr="00636169" w:rsidRDefault="00A94A10" w:rsidP="00BE68EC">
            <w:pPr>
              <w:jc w:val="center"/>
              <w:rPr>
                <w:sz w:val="15"/>
                <w:szCs w:val="15"/>
              </w:rPr>
            </w:pPr>
            <w:r>
              <w:rPr>
                <w:sz w:val="15"/>
                <w:szCs w:val="15"/>
              </w:rPr>
              <w:t>(0.0</w:t>
            </w:r>
            <w:r w:rsidR="00BD4614">
              <w:rPr>
                <w:sz w:val="15"/>
                <w:szCs w:val="15"/>
              </w:rPr>
              <w:t>1</w:t>
            </w:r>
            <w:r w:rsidR="00ED560A">
              <w:rPr>
                <w:sz w:val="15"/>
                <w:szCs w:val="15"/>
              </w:rPr>
              <w:t>0</w:t>
            </w:r>
            <w:r>
              <w:rPr>
                <w:sz w:val="15"/>
                <w:szCs w:val="15"/>
              </w:rPr>
              <w:t>)</w:t>
            </w:r>
          </w:p>
        </w:tc>
        <w:tc>
          <w:tcPr>
            <w:tcW w:w="1557" w:type="dxa"/>
            <w:vAlign w:val="center"/>
          </w:tcPr>
          <w:p w14:paraId="73A6A343" w14:textId="6086E5DA" w:rsidR="00A94A10" w:rsidRDefault="00A070AD" w:rsidP="00BE68EC">
            <w:pPr>
              <w:jc w:val="center"/>
              <w:rPr>
                <w:sz w:val="15"/>
                <w:szCs w:val="15"/>
              </w:rPr>
            </w:pPr>
            <w:r>
              <w:rPr>
                <w:sz w:val="15"/>
                <w:szCs w:val="15"/>
              </w:rPr>
              <w:t>-</w:t>
            </w:r>
            <w:r w:rsidR="00A94A10">
              <w:rPr>
                <w:sz w:val="15"/>
                <w:szCs w:val="15"/>
              </w:rPr>
              <w:t>0.00</w:t>
            </w:r>
            <w:r>
              <w:rPr>
                <w:sz w:val="15"/>
                <w:szCs w:val="15"/>
              </w:rPr>
              <w:t>7</w:t>
            </w:r>
          </w:p>
          <w:p w14:paraId="5AD235DA" w14:textId="0EFBB738" w:rsidR="00A94A10" w:rsidRPr="00636169" w:rsidRDefault="00A94A10" w:rsidP="00BE68EC">
            <w:pPr>
              <w:jc w:val="center"/>
              <w:rPr>
                <w:sz w:val="15"/>
                <w:szCs w:val="15"/>
              </w:rPr>
            </w:pPr>
            <w:r>
              <w:rPr>
                <w:sz w:val="15"/>
                <w:szCs w:val="15"/>
              </w:rPr>
              <w:t>(0.0</w:t>
            </w:r>
            <w:r w:rsidR="00A070AD">
              <w:rPr>
                <w:sz w:val="15"/>
                <w:szCs w:val="15"/>
              </w:rPr>
              <w:t>10</w:t>
            </w:r>
            <w:r>
              <w:rPr>
                <w:sz w:val="15"/>
                <w:szCs w:val="15"/>
              </w:rPr>
              <w:t>)</w:t>
            </w:r>
          </w:p>
        </w:tc>
        <w:tc>
          <w:tcPr>
            <w:tcW w:w="239" w:type="dxa"/>
          </w:tcPr>
          <w:p w14:paraId="4D68D76B" w14:textId="77777777" w:rsidR="00A94A10" w:rsidRPr="00636169" w:rsidRDefault="00A94A10" w:rsidP="00BE68EC">
            <w:pPr>
              <w:jc w:val="center"/>
              <w:rPr>
                <w:sz w:val="16"/>
                <w:szCs w:val="16"/>
              </w:rPr>
            </w:pPr>
          </w:p>
        </w:tc>
      </w:tr>
      <w:tr w:rsidR="00A94A10" w:rsidRPr="00636169" w14:paraId="5C31BA31" w14:textId="77777777" w:rsidTr="00BE68EC">
        <w:trPr>
          <w:gridAfter w:val="1"/>
          <w:wAfter w:w="1560" w:type="dxa"/>
        </w:trPr>
        <w:tc>
          <w:tcPr>
            <w:tcW w:w="1913" w:type="dxa"/>
            <w:vAlign w:val="center"/>
          </w:tcPr>
          <w:p w14:paraId="54D3A593" w14:textId="77777777" w:rsidR="00A94A10" w:rsidRPr="009C7364" w:rsidRDefault="00A94A10" w:rsidP="00BE68EC">
            <w:pPr>
              <w:rPr>
                <w:b/>
                <w:bCs/>
                <w:sz w:val="15"/>
                <w:szCs w:val="15"/>
              </w:rPr>
            </w:pPr>
            <w:r w:rsidRPr="009C7364">
              <w:rPr>
                <w:sz w:val="15"/>
                <w:szCs w:val="15"/>
              </w:rPr>
              <w:t xml:space="preserve"> Munster</w:t>
            </w:r>
          </w:p>
        </w:tc>
        <w:tc>
          <w:tcPr>
            <w:tcW w:w="1773" w:type="dxa"/>
            <w:vAlign w:val="center"/>
          </w:tcPr>
          <w:p w14:paraId="5683D0D1" w14:textId="07200DC3" w:rsidR="00A94A10" w:rsidRDefault="00A94A10" w:rsidP="00BE68EC">
            <w:pPr>
              <w:jc w:val="center"/>
              <w:rPr>
                <w:sz w:val="15"/>
                <w:szCs w:val="15"/>
              </w:rPr>
            </w:pPr>
            <w:r>
              <w:rPr>
                <w:sz w:val="15"/>
                <w:szCs w:val="15"/>
              </w:rPr>
              <w:t>0.00</w:t>
            </w:r>
            <w:r w:rsidR="009C1A58">
              <w:rPr>
                <w:sz w:val="15"/>
                <w:szCs w:val="15"/>
              </w:rPr>
              <w:t>5</w:t>
            </w:r>
          </w:p>
          <w:p w14:paraId="19EEC8A8" w14:textId="0E877282" w:rsidR="00A94A10" w:rsidRPr="009C7364" w:rsidRDefault="00A94A10" w:rsidP="00BE68EC">
            <w:pPr>
              <w:jc w:val="center"/>
              <w:rPr>
                <w:sz w:val="15"/>
                <w:szCs w:val="15"/>
              </w:rPr>
            </w:pPr>
            <w:r>
              <w:rPr>
                <w:sz w:val="15"/>
                <w:szCs w:val="15"/>
              </w:rPr>
              <w:t>(0.00</w:t>
            </w:r>
            <w:r w:rsidR="00A5070A">
              <w:rPr>
                <w:sz w:val="15"/>
                <w:szCs w:val="15"/>
              </w:rPr>
              <w:t>6</w:t>
            </w:r>
            <w:r>
              <w:rPr>
                <w:sz w:val="15"/>
                <w:szCs w:val="15"/>
              </w:rPr>
              <w:t>)</w:t>
            </w:r>
          </w:p>
        </w:tc>
        <w:tc>
          <w:tcPr>
            <w:tcW w:w="1984" w:type="dxa"/>
            <w:tcBorders>
              <w:right w:val="single" w:sz="4" w:space="0" w:color="auto"/>
            </w:tcBorders>
            <w:vAlign w:val="center"/>
          </w:tcPr>
          <w:p w14:paraId="789489A1" w14:textId="097642D1" w:rsidR="00A94A10" w:rsidRDefault="00A94A10" w:rsidP="00BE68EC">
            <w:pPr>
              <w:jc w:val="center"/>
              <w:rPr>
                <w:sz w:val="15"/>
                <w:szCs w:val="15"/>
              </w:rPr>
            </w:pPr>
            <w:r>
              <w:rPr>
                <w:sz w:val="15"/>
                <w:szCs w:val="15"/>
              </w:rPr>
              <w:t>0.00</w:t>
            </w:r>
            <w:r w:rsidR="00B17FB2">
              <w:rPr>
                <w:sz w:val="15"/>
                <w:szCs w:val="15"/>
              </w:rPr>
              <w:t>8</w:t>
            </w:r>
          </w:p>
          <w:p w14:paraId="7570D2F5" w14:textId="7B71FAD9" w:rsidR="00A94A10" w:rsidRPr="00636169" w:rsidRDefault="00A94A10" w:rsidP="00BE68EC">
            <w:pPr>
              <w:jc w:val="center"/>
              <w:rPr>
                <w:sz w:val="15"/>
                <w:szCs w:val="15"/>
              </w:rPr>
            </w:pPr>
            <w:r>
              <w:rPr>
                <w:sz w:val="15"/>
                <w:szCs w:val="15"/>
              </w:rPr>
              <w:t>(0.00</w:t>
            </w:r>
            <w:r w:rsidR="00B17FB2">
              <w:rPr>
                <w:sz w:val="15"/>
                <w:szCs w:val="15"/>
              </w:rPr>
              <w:t>6</w:t>
            </w:r>
            <w:r>
              <w:rPr>
                <w:sz w:val="15"/>
                <w:szCs w:val="15"/>
              </w:rPr>
              <w:t>)</w:t>
            </w:r>
          </w:p>
        </w:tc>
        <w:tc>
          <w:tcPr>
            <w:tcW w:w="1560" w:type="dxa"/>
            <w:tcBorders>
              <w:left w:val="single" w:sz="4" w:space="0" w:color="auto"/>
            </w:tcBorders>
            <w:vAlign w:val="center"/>
          </w:tcPr>
          <w:p w14:paraId="0459E962" w14:textId="617BFD16" w:rsidR="00A94A10" w:rsidRDefault="00A94A10" w:rsidP="00BE68EC">
            <w:pPr>
              <w:jc w:val="center"/>
              <w:rPr>
                <w:sz w:val="15"/>
                <w:szCs w:val="15"/>
              </w:rPr>
            </w:pPr>
            <w:r>
              <w:rPr>
                <w:sz w:val="15"/>
                <w:szCs w:val="15"/>
              </w:rPr>
              <w:t>-0.0</w:t>
            </w:r>
            <w:r w:rsidR="00ED560A">
              <w:rPr>
                <w:sz w:val="15"/>
                <w:szCs w:val="15"/>
              </w:rPr>
              <w:t>16</w:t>
            </w:r>
          </w:p>
          <w:p w14:paraId="085B0921" w14:textId="2FD7CBCF" w:rsidR="00A94A10" w:rsidRPr="00636169" w:rsidRDefault="00A94A10" w:rsidP="00BE68EC">
            <w:pPr>
              <w:jc w:val="center"/>
              <w:rPr>
                <w:sz w:val="15"/>
                <w:szCs w:val="15"/>
              </w:rPr>
            </w:pPr>
            <w:r>
              <w:rPr>
                <w:sz w:val="15"/>
                <w:szCs w:val="15"/>
              </w:rPr>
              <w:t>(0.0</w:t>
            </w:r>
            <w:r w:rsidR="00BD4614">
              <w:rPr>
                <w:sz w:val="15"/>
                <w:szCs w:val="15"/>
              </w:rPr>
              <w:t>1</w:t>
            </w:r>
            <w:r w:rsidR="00ED560A">
              <w:rPr>
                <w:sz w:val="15"/>
                <w:szCs w:val="15"/>
              </w:rPr>
              <w:t>0</w:t>
            </w:r>
            <w:r>
              <w:rPr>
                <w:sz w:val="15"/>
                <w:szCs w:val="15"/>
              </w:rPr>
              <w:t>)</w:t>
            </w:r>
          </w:p>
        </w:tc>
        <w:tc>
          <w:tcPr>
            <w:tcW w:w="1557" w:type="dxa"/>
            <w:vAlign w:val="center"/>
          </w:tcPr>
          <w:p w14:paraId="2779F721" w14:textId="5DBF754B" w:rsidR="00A94A10" w:rsidRDefault="00A94A10" w:rsidP="00BE68EC">
            <w:pPr>
              <w:jc w:val="center"/>
              <w:rPr>
                <w:sz w:val="15"/>
                <w:szCs w:val="15"/>
              </w:rPr>
            </w:pPr>
            <w:r>
              <w:rPr>
                <w:sz w:val="15"/>
                <w:szCs w:val="15"/>
              </w:rPr>
              <w:t>-0.0</w:t>
            </w:r>
            <w:r w:rsidR="00A070AD">
              <w:rPr>
                <w:sz w:val="15"/>
                <w:szCs w:val="15"/>
              </w:rPr>
              <w:t>09</w:t>
            </w:r>
          </w:p>
          <w:p w14:paraId="0D0A730D" w14:textId="00FF507D" w:rsidR="00A94A10" w:rsidRPr="00636169" w:rsidRDefault="00A94A10" w:rsidP="00BE68EC">
            <w:pPr>
              <w:jc w:val="center"/>
              <w:rPr>
                <w:sz w:val="15"/>
                <w:szCs w:val="15"/>
              </w:rPr>
            </w:pPr>
            <w:r>
              <w:rPr>
                <w:sz w:val="15"/>
                <w:szCs w:val="15"/>
              </w:rPr>
              <w:t>(0.0</w:t>
            </w:r>
            <w:r w:rsidR="00A070AD">
              <w:rPr>
                <w:sz w:val="15"/>
                <w:szCs w:val="15"/>
              </w:rPr>
              <w:t>10</w:t>
            </w:r>
            <w:r>
              <w:rPr>
                <w:sz w:val="15"/>
                <w:szCs w:val="15"/>
              </w:rPr>
              <w:t>)</w:t>
            </w:r>
          </w:p>
        </w:tc>
        <w:tc>
          <w:tcPr>
            <w:tcW w:w="239" w:type="dxa"/>
          </w:tcPr>
          <w:p w14:paraId="64EC66D4" w14:textId="77777777" w:rsidR="00A94A10" w:rsidRPr="00636169" w:rsidRDefault="00A94A10" w:rsidP="00BE68EC">
            <w:pPr>
              <w:jc w:val="center"/>
              <w:rPr>
                <w:sz w:val="16"/>
                <w:szCs w:val="16"/>
              </w:rPr>
            </w:pPr>
          </w:p>
        </w:tc>
      </w:tr>
      <w:tr w:rsidR="00A94A10" w:rsidRPr="00636169" w14:paraId="7DD720DC" w14:textId="77777777" w:rsidTr="00BE68EC">
        <w:trPr>
          <w:gridAfter w:val="1"/>
          <w:wAfter w:w="1560" w:type="dxa"/>
        </w:trPr>
        <w:tc>
          <w:tcPr>
            <w:tcW w:w="1913" w:type="dxa"/>
            <w:vAlign w:val="center"/>
          </w:tcPr>
          <w:p w14:paraId="7AC0C835" w14:textId="77777777" w:rsidR="00A94A10" w:rsidRPr="009C7364" w:rsidRDefault="00A94A10" w:rsidP="00BE68EC">
            <w:pPr>
              <w:rPr>
                <w:b/>
                <w:bCs/>
                <w:sz w:val="15"/>
                <w:szCs w:val="15"/>
              </w:rPr>
            </w:pPr>
            <w:r w:rsidRPr="009C7364">
              <w:rPr>
                <w:sz w:val="15"/>
                <w:szCs w:val="15"/>
              </w:rPr>
              <w:t xml:space="preserve"> Connaught/Ulster</w:t>
            </w:r>
          </w:p>
        </w:tc>
        <w:tc>
          <w:tcPr>
            <w:tcW w:w="1773" w:type="dxa"/>
            <w:vAlign w:val="center"/>
          </w:tcPr>
          <w:p w14:paraId="50CD945C" w14:textId="3B138A66" w:rsidR="00A94A10" w:rsidRDefault="00A94A10" w:rsidP="00BE68EC">
            <w:pPr>
              <w:jc w:val="center"/>
              <w:rPr>
                <w:sz w:val="15"/>
                <w:szCs w:val="15"/>
              </w:rPr>
            </w:pPr>
            <w:r>
              <w:rPr>
                <w:sz w:val="15"/>
                <w:szCs w:val="15"/>
              </w:rPr>
              <w:t>0.00</w:t>
            </w:r>
            <w:r w:rsidR="00A5070A">
              <w:rPr>
                <w:sz w:val="15"/>
                <w:szCs w:val="15"/>
              </w:rPr>
              <w:t>04</w:t>
            </w:r>
          </w:p>
          <w:p w14:paraId="79C1780B" w14:textId="639EFA0A" w:rsidR="00A94A10" w:rsidRPr="009C7364" w:rsidRDefault="00A94A10" w:rsidP="00BE68EC">
            <w:pPr>
              <w:jc w:val="center"/>
              <w:rPr>
                <w:sz w:val="15"/>
                <w:szCs w:val="15"/>
              </w:rPr>
            </w:pPr>
            <w:r>
              <w:rPr>
                <w:sz w:val="15"/>
                <w:szCs w:val="15"/>
              </w:rPr>
              <w:t>(0.00</w:t>
            </w:r>
            <w:r w:rsidR="00A5070A">
              <w:rPr>
                <w:sz w:val="15"/>
                <w:szCs w:val="15"/>
              </w:rPr>
              <w:t>7</w:t>
            </w:r>
            <w:r>
              <w:rPr>
                <w:sz w:val="15"/>
                <w:szCs w:val="15"/>
              </w:rPr>
              <w:t>)</w:t>
            </w:r>
          </w:p>
        </w:tc>
        <w:tc>
          <w:tcPr>
            <w:tcW w:w="1984" w:type="dxa"/>
            <w:tcBorders>
              <w:right w:val="single" w:sz="4" w:space="0" w:color="auto"/>
            </w:tcBorders>
            <w:vAlign w:val="center"/>
          </w:tcPr>
          <w:p w14:paraId="0E272A0C" w14:textId="53C98D00" w:rsidR="00A94A10" w:rsidRDefault="00A94A10" w:rsidP="00BE68EC">
            <w:pPr>
              <w:jc w:val="center"/>
              <w:rPr>
                <w:sz w:val="15"/>
                <w:szCs w:val="15"/>
              </w:rPr>
            </w:pPr>
            <w:r>
              <w:rPr>
                <w:sz w:val="15"/>
                <w:szCs w:val="15"/>
              </w:rPr>
              <w:t>0.00</w:t>
            </w:r>
            <w:r w:rsidR="00B17FB2">
              <w:rPr>
                <w:sz w:val="15"/>
                <w:szCs w:val="15"/>
              </w:rPr>
              <w:t>5</w:t>
            </w:r>
          </w:p>
          <w:p w14:paraId="0F84BF24" w14:textId="203B75B8" w:rsidR="00A94A10" w:rsidRPr="00636169" w:rsidRDefault="00A94A10" w:rsidP="00BE68EC">
            <w:pPr>
              <w:jc w:val="center"/>
              <w:rPr>
                <w:sz w:val="15"/>
                <w:szCs w:val="15"/>
              </w:rPr>
            </w:pPr>
            <w:r>
              <w:rPr>
                <w:sz w:val="15"/>
                <w:szCs w:val="15"/>
              </w:rPr>
              <w:t>(0.00</w:t>
            </w:r>
            <w:r w:rsidR="00B17FB2">
              <w:rPr>
                <w:sz w:val="15"/>
                <w:szCs w:val="15"/>
              </w:rPr>
              <w:t>7</w:t>
            </w:r>
            <w:r>
              <w:rPr>
                <w:sz w:val="15"/>
                <w:szCs w:val="15"/>
              </w:rPr>
              <w:t>)</w:t>
            </w:r>
          </w:p>
        </w:tc>
        <w:tc>
          <w:tcPr>
            <w:tcW w:w="1560" w:type="dxa"/>
            <w:tcBorders>
              <w:left w:val="single" w:sz="4" w:space="0" w:color="auto"/>
            </w:tcBorders>
            <w:vAlign w:val="center"/>
          </w:tcPr>
          <w:p w14:paraId="72A58511" w14:textId="7E8552CE" w:rsidR="00A94A10" w:rsidRDefault="00ED560A" w:rsidP="00BE68EC">
            <w:pPr>
              <w:jc w:val="center"/>
              <w:rPr>
                <w:sz w:val="15"/>
                <w:szCs w:val="15"/>
              </w:rPr>
            </w:pPr>
            <w:r>
              <w:rPr>
                <w:sz w:val="15"/>
                <w:szCs w:val="15"/>
              </w:rPr>
              <w:t>-0.0009</w:t>
            </w:r>
          </w:p>
          <w:p w14:paraId="52EED7D5" w14:textId="3F1D35DA" w:rsidR="00A94A10" w:rsidRPr="00636169" w:rsidRDefault="00A94A10" w:rsidP="00BE68EC">
            <w:pPr>
              <w:jc w:val="center"/>
              <w:rPr>
                <w:sz w:val="15"/>
                <w:szCs w:val="15"/>
              </w:rPr>
            </w:pPr>
            <w:r>
              <w:rPr>
                <w:sz w:val="15"/>
                <w:szCs w:val="15"/>
              </w:rPr>
              <w:t>(0.0</w:t>
            </w:r>
            <w:r w:rsidR="006D798C">
              <w:rPr>
                <w:sz w:val="15"/>
                <w:szCs w:val="15"/>
              </w:rPr>
              <w:t>12</w:t>
            </w:r>
            <w:r>
              <w:rPr>
                <w:sz w:val="15"/>
                <w:szCs w:val="15"/>
              </w:rPr>
              <w:t>)</w:t>
            </w:r>
          </w:p>
        </w:tc>
        <w:tc>
          <w:tcPr>
            <w:tcW w:w="1557" w:type="dxa"/>
            <w:vAlign w:val="center"/>
          </w:tcPr>
          <w:p w14:paraId="2FDAED8E" w14:textId="6F979C27" w:rsidR="00A94A10" w:rsidRDefault="00A94A10" w:rsidP="00BE68EC">
            <w:pPr>
              <w:jc w:val="center"/>
              <w:rPr>
                <w:sz w:val="15"/>
                <w:szCs w:val="15"/>
              </w:rPr>
            </w:pPr>
            <w:r>
              <w:rPr>
                <w:sz w:val="15"/>
                <w:szCs w:val="15"/>
              </w:rPr>
              <w:t>0.0</w:t>
            </w:r>
            <w:r w:rsidR="00A070AD">
              <w:rPr>
                <w:sz w:val="15"/>
                <w:szCs w:val="15"/>
              </w:rPr>
              <w:t>10</w:t>
            </w:r>
          </w:p>
          <w:p w14:paraId="7CD83EFE" w14:textId="1BFC01AF" w:rsidR="00A94A10" w:rsidRPr="00636169" w:rsidRDefault="00A94A10" w:rsidP="00BE68EC">
            <w:pPr>
              <w:jc w:val="center"/>
              <w:rPr>
                <w:sz w:val="15"/>
                <w:szCs w:val="15"/>
              </w:rPr>
            </w:pPr>
            <w:r>
              <w:rPr>
                <w:sz w:val="15"/>
                <w:szCs w:val="15"/>
              </w:rPr>
              <w:t>(0.0</w:t>
            </w:r>
            <w:r w:rsidR="00A070AD">
              <w:rPr>
                <w:sz w:val="15"/>
                <w:szCs w:val="15"/>
              </w:rPr>
              <w:t>12</w:t>
            </w:r>
            <w:r>
              <w:rPr>
                <w:sz w:val="15"/>
                <w:szCs w:val="15"/>
              </w:rPr>
              <w:t>)</w:t>
            </w:r>
          </w:p>
        </w:tc>
        <w:tc>
          <w:tcPr>
            <w:tcW w:w="239" w:type="dxa"/>
          </w:tcPr>
          <w:p w14:paraId="0EF59162" w14:textId="77777777" w:rsidR="00A94A10" w:rsidRPr="00636169" w:rsidRDefault="00A94A10" w:rsidP="00BE68EC">
            <w:pPr>
              <w:jc w:val="center"/>
              <w:rPr>
                <w:sz w:val="16"/>
                <w:szCs w:val="16"/>
              </w:rPr>
            </w:pPr>
          </w:p>
        </w:tc>
      </w:tr>
      <w:tr w:rsidR="00A94A10" w:rsidRPr="00636169" w14:paraId="3CB1AB89" w14:textId="77777777" w:rsidTr="00BE68EC">
        <w:tc>
          <w:tcPr>
            <w:tcW w:w="5670" w:type="dxa"/>
            <w:gridSpan w:val="3"/>
            <w:tcBorders>
              <w:right w:val="single" w:sz="4" w:space="0" w:color="auto"/>
            </w:tcBorders>
            <w:vAlign w:val="center"/>
          </w:tcPr>
          <w:p w14:paraId="411483F8" w14:textId="77777777" w:rsidR="00A94A10" w:rsidRPr="00636169" w:rsidRDefault="00A94A10" w:rsidP="00BE68EC">
            <w:pPr>
              <w:rPr>
                <w:i/>
                <w:iCs/>
                <w:sz w:val="15"/>
                <w:szCs w:val="15"/>
              </w:rPr>
            </w:pPr>
            <w:r>
              <w:rPr>
                <w:i/>
                <w:iCs/>
                <w:sz w:val="15"/>
                <w:szCs w:val="15"/>
              </w:rPr>
              <w:t>Highest e</w:t>
            </w:r>
            <w:r w:rsidRPr="00636169">
              <w:rPr>
                <w:i/>
                <w:iCs/>
                <w:sz w:val="15"/>
                <w:szCs w:val="15"/>
              </w:rPr>
              <w:t>ducational achievement (Ref: less than Leaving Certificate)</w:t>
            </w:r>
          </w:p>
        </w:tc>
        <w:tc>
          <w:tcPr>
            <w:tcW w:w="1560" w:type="dxa"/>
            <w:tcBorders>
              <w:left w:val="single" w:sz="4" w:space="0" w:color="auto"/>
            </w:tcBorders>
          </w:tcPr>
          <w:p w14:paraId="4B17983C" w14:textId="77777777" w:rsidR="00A94A10" w:rsidRPr="00636169" w:rsidRDefault="00A94A10" w:rsidP="00BE68EC">
            <w:pPr>
              <w:rPr>
                <w:i/>
                <w:iCs/>
                <w:sz w:val="15"/>
                <w:szCs w:val="15"/>
              </w:rPr>
            </w:pPr>
          </w:p>
        </w:tc>
        <w:tc>
          <w:tcPr>
            <w:tcW w:w="1557" w:type="dxa"/>
          </w:tcPr>
          <w:p w14:paraId="63381926" w14:textId="77777777" w:rsidR="00A94A10" w:rsidRPr="00636169" w:rsidRDefault="00A94A10" w:rsidP="00BE68EC">
            <w:pPr>
              <w:rPr>
                <w:i/>
                <w:iCs/>
                <w:sz w:val="15"/>
                <w:szCs w:val="15"/>
              </w:rPr>
            </w:pPr>
          </w:p>
        </w:tc>
        <w:tc>
          <w:tcPr>
            <w:tcW w:w="239" w:type="dxa"/>
          </w:tcPr>
          <w:p w14:paraId="7A29C176" w14:textId="77777777" w:rsidR="00A94A10" w:rsidRPr="00636169" w:rsidRDefault="00A94A10" w:rsidP="00BE68EC">
            <w:pPr>
              <w:rPr>
                <w:i/>
                <w:iCs/>
                <w:sz w:val="16"/>
                <w:szCs w:val="16"/>
              </w:rPr>
            </w:pPr>
          </w:p>
        </w:tc>
        <w:tc>
          <w:tcPr>
            <w:tcW w:w="1560" w:type="dxa"/>
          </w:tcPr>
          <w:p w14:paraId="2EEFB2F8" w14:textId="77777777" w:rsidR="00A94A10" w:rsidRPr="00636169" w:rsidRDefault="00A94A10" w:rsidP="00BE68EC"/>
        </w:tc>
      </w:tr>
      <w:tr w:rsidR="00A94A10" w:rsidRPr="00636169" w14:paraId="1A7006B3" w14:textId="77777777" w:rsidTr="00BE68EC">
        <w:trPr>
          <w:gridAfter w:val="1"/>
          <w:wAfter w:w="1560" w:type="dxa"/>
        </w:trPr>
        <w:tc>
          <w:tcPr>
            <w:tcW w:w="1913" w:type="dxa"/>
            <w:vAlign w:val="center"/>
          </w:tcPr>
          <w:p w14:paraId="070E7FA3" w14:textId="77777777" w:rsidR="00A94A10" w:rsidRPr="009C7364" w:rsidRDefault="00A94A10" w:rsidP="00BE68EC">
            <w:pPr>
              <w:rPr>
                <w:b/>
                <w:bCs/>
                <w:sz w:val="15"/>
                <w:szCs w:val="15"/>
              </w:rPr>
            </w:pPr>
            <w:r w:rsidRPr="009C7364">
              <w:rPr>
                <w:sz w:val="15"/>
                <w:szCs w:val="15"/>
              </w:rPr>
              <w:t xml:space="preserve"> Leaving Certificate</w:t>
            </w:r>
          </w:p>
        </w:tc>
        <w:tc>
          <w:tcPr>
            <w:tcW w:w="1773" w:type="dxa"/>
            <w:vAlign w:val="center"/>
          </w:tcPr>
          <w:p w14:paraId="52435406" w14:textId="2E2604AA" w:rsidR="00A94A10" w:rsidRDefault="00A94A10" w:rsidP="00BE68EC">
            <w:pPr>
              <w:jc w:val="center"/>
              <w:rPr>
                <w:sz w:val="15"/>
                <w:szCs w:val="15"/>
              </w:rPr>
            </w:pPr>
            <w:r>
              <w:rPr>
                <w:sz w:val="15"/>
                <w:szCs w:val="15"/>
              </w:rPr>
              <w:t>-0.00</w:t>
            </w:r>
            <w:r w:rsidR="00A5070A">
              <w:rPr>
                <w:sz w:val="15"/>
                <w:szCs w:val="15"/>
              </w:rPr>
              <w:t>6</w:t>
            </w:r>
          </w:p>
          <w:p w14:paraId="7BFB52C7" w14:textId="6DA872DC" w:rsidR="00A94A10" w:rsidRPr="009C7364" w:rsidRDefault="00A94A10" w:rsidP="00BE68EC">
            <w:pPr>
              <w:jc w:val="center"/>
              <w:rPr>
                <w:sz w:val="15"/>
                <w:szCs w:val="15"/>
              </w:rPr>
            </w:pPr>
            <w:r>
              <w:rPr>
                <w:sz w:val="15"/>
                <w:szCs w:val="15"/>
              </w:rPr>
              <w:t>(0.00</w:t>
            </w:r>
            <w:r w:rsidR="00A5070A">
              <w:rPr>
                <w:sz w:val="15"/>
                <w:szCs w:val="15"/>
              </w:rPr>
              <w:t>7</w:t>
            </w:r>
            <w:r>
              <w:rPr>
                <w:sz w:val="15"/>
                <w:szCs w:val="15"/>
              </w:rPr>
              <w:t>)</w:t>
            </w:r>
          </w:p>
        </w:tc>
        <w:tc>
          <w:tcPr>
            <w:tcW w:w="1984" w:type="dxa"/>
            <w:tcBorders>
              <w:right w:val="single" w:sz="4" w:space="0" w:color="auto"/>
            </w:tcBorders>
            <w:vAlign w:val="center"/>
          </w:tcPr>
          <w:p w14:paraId="73A38C02" w14:textId="1BF561F7" w:rsidR="00A94A10" w:rsidRDefault="00370677" w:rsidP="00BE68EC">
            <w:pPr>
              <w:jc w:val="center"/>
              <w:rPr>
                <w:sz w:val="15"/>
                <w:szCs w:val="15"/>
              </w:rPr>
            </w:pPr>
            <w:r>
              <w:rPr>
                <w:sz w:val="15"/>
                <w:szCs w:val="15"/>
              </w:rPr>
              <w:t>-</w:t>
            </w:r>
            <w:r w:rsidR="00A94A10">
              <w:rPr>
                <w:sz w:val="15"/>
                <w:szCs w:val="15"/>
              </w:rPr>
              <w:t>0.00</w:t>
            </w:r>
            <w:r>
              <w:rPr>
                <w:sz w:val="15"/>
                <w:szCs w:val="15"/>
              </w:rPr>
              <w:t>4</w:t>
            </w:r>
          </w:p>
          <w:p w14:paraId="643F2255" w14:textId="5832AB52" w:rsidR="00A94A10" w:rsidRPr="00636169" w:rsidRDefault="00A94A10" w:rsidP="00BE68EC">
            <w:pPr>
              <w:jc w:val="center"/>
              <w:rPr>
                <w:sz w:val="15"/>
                <w:szCs w:val="15"/>
              </w:rPr>
            </w:pPr>
            <w:r>
              <w:rPr>
                <w:sz w:val="15"/>
                <w:szCs w:val="15"/>
              </w:rPr>
              <w:t>(0.00</w:t>
            </w:r>
            <w:r w:rsidR="00370677">
              <w:rPr>
                <w:sz w:val="15"/>
                <w:szCs w:val="15"/>
              </w:rPr>
              <w:t>6</w:t>
            </w:r>
            <w:r>
              <w:rPr>
                <w:sz w:val="15"/>
                <w:szCs w:val="15"/>
              </w:rPr>
              <w:t>)</w:t>
            </w:r>
          </w:p>
        </w:tc>
        <w:tc>
          <w:tcPr>
            <w:tcW w:w="1560" w:type="dxa"/>
            <w:tcBorders>
              <w:left w:val="single" w:sz="4" w:space="0" w:color="auto"/>
            </w:tcBorders>
            <w:vAlign w:val="center"/>
          </w:tcPr>
          <w:p w14:paraId="65150F96" w14:textId="662E4FE3" w:rsidR="00A94A10" w:rsidRDefault="00A94A10" w:rsidP="00BE68EC">
            <w:pPr>
              <w:jc w:val="center"/>
              <w:rPr>
                <w:sz w:val="15"/>
                <w:szCs w:val="15"/>
              </w:rPr>
            </w:pPr>
            <w:r>
              <w:rPr>
                <w:sz w:val="15"/>
                <w:szCs w:val="15"/>
              </w:rPr>
              <w:t>-0.01</w:t>
            </w:r>
            <w:r w:rsidR="006D798C">
              <w:rPr>
                <w:sz w:val="15"/>
                <w:szCs w:val="15"/>
              </w:rPr>
              <w:t>6</w:t>
            </w:r>
          </w:p>
          <w:p w14:paraId="7403DF3B" w14:textId="633132C9" w:rsidR="00A94A10" w:rsidRPr="00636169" w:rsidRDefault="00A94A10" w:rsidP="00BE68EC">
            <w:pPr>
              <w:jc w:val="center"/>
              <w:rPr>
                <w:sz w:val="15"/>
                <w:szCs w:val="15"/>
              </w:rPr>
            </w:pPr>
            <w:r>
              <w:rPr>
                <w:sz w:val="15"/>
                <w:szCs w:val="15"/>
              </w:rPr>
              <w:t>(0.0</w:t>
            </w:r>
            <w:r w:rsidR="006D798C">
              <w:rPr>
                <w:sz w:val="15"/>
                <w:szCs w:val="15"/>
              </w:rPr>
              <w:t>11</w:t>
            </w:r>
            <w:r>
              <w:rPr>
                <w:sz w:val="15"/>
                <w:szCs w:val="15"/>
              </w:rPr>
              <w:t>)</w:t>
            </w:r>
          </w:p>
        </w:tc>
        <w:tc>
          <w:tcPr>
            <w:tcW w:w="1557" w:type="dxa"/>
            <w:vAlign w:val="center"/>
          </w:tcPr>
          <w:p w14:paraId="5397D04C" w14:textId="1B8F5EE0" w:rsidR="00A94A10" w:rsidRDefault="00A94A10" w:rsidP="00BE68EC">
            <w:pPr>
              <w:jc w:val="center"/>
              <w:rPr>
                <w:sz w:val="15"/>
                <w:szCs w:val="15"/>
              </w:rPr>
            </w:pPr>
            <w:r>
              <w:rPr>
                <w:sz w:val="15"/>
                <w:szCs w:val="15"/>
              </w:rPr>
              <w:t>-0.0</w:t>
            </w:r>
            <w:r w:rsidR="00220C4F">
              <w:rPr>
                <w:sz w:val="15"/>
                <w:szCs w:val="15"/>
              </w:rPr>
              <w:t>12</w:t>
            </w:r>
          </w:p>
          <w:p w14:paraId="021EC2D0" w14:textId="36BAD5D8" w:rsidR="00A94A10" w:rsidRPr="00636169" w:rsidRDefault="00A94A10" w:rsidP="00BE68EC">
            <w:pPr>
              <w:jc w:val="center"/>
              <w:rPr>
                <w:sz w:val="15"/>
                <w:szCs w:val="15"/>
              </w:rPr>
            </w:pPr>
            <w:r>
              <w:rPr>
                <w:sz w:val="15"/>
                <w:szCs w:val="15"/>
              </w:rPr>
              <w:t>(0.0</w:t>
            </w:r>
            <w:r w:rsidR="00220C4F">
              <w:rPr>
                <w:sz w:val="15"/>
                <w:szCs w:val="15"/>
              </w:rPr>
              <w:t>11</w:t>
            </w:r>
            <w:r>
              <w:rPr>
                <w:sz w:val="15"/>
                <w:szCs w:val="15"/>
              </w:rPr>
              <w:t>)</w:t>
            </w:r>
          </w:p>
        </w:tc>
        <w:tc>
          <w:tcPr>
            <w:tcW w:w="239" w:type="dxa"/>
          </w:tcPr>
          <w:p w14:paraId="712458D0" w14:textId="77777777" w:rsidR="00A94A10" w:rsidRPr="00636169" w:rsidRDefault="00A94A10" w:rsidP="00BE68EC">
            <w:pPr>
              <w:jc w:val="center"/>
              <w:rPr>
                <w:sz w:val="16"/>
                <w:szCs w:val="16"/>
              </w:rPr>
            </w:pPr>
          </w:p>
        </w:tc>
      </w:tr>
      <w:tr w:rsidR="00A94A10" w:rsidRPr="00636169" w14:paraId="2A2DE2E4" w14:textId="77777777" w:rsidTr="00BE68EC">
        <w:trPr>
          <w:gridAfter w:val="1"/>
          <w:wAfter w:w="1560" w:type="dxa"/>
        </w:trPr>
        <w:tc>
          <w:tcPr>
            <w:tcW w:w="1913" w:type="dxa"/>
            <w:vAlign w:val="center"/>
          </w:tcPr>
          <w:p w14:paraId="56BDB10E" w14:textId="77777777" w:rsidR="00A94A10" w:rsidRPr="009C7364" w:rsidRDefault="00A94A10" w:rsidP="00BE68EC">
            <w:pPr>
              <w:rPr>
                <w:sz w:val="15"/>
                <w:szCs w:val="15"/>
              </w:rPr>
            </w:pPr>
            <w:r w:rsidRPr="009C7364">
              <w:rPr>
                <w:sz w:val="15"/>
                <w:szCs w:val="15"/>
              </w:rPr>
              <w:t xml:space="preserve"> Degree (graduate/postgraduate)</w:t>
            </w:r>
          </w:p>
        </w:tc>
        <w:tc>
          <w:tcPr>
            <w:tcW w:w="1773" w:type="dxa"/>
            <w:vAlign w:val="center"/>
          </w:tcPr>
          <w:p w14:paraId="463E507C" w14:textId="7328834D" w:rsidR="00A94A10" w:rsidRDefault="005D50F4" w:rsidP="00BE68EC">
            <w:pPr>
              <w:jc w:val="center"/>
              <w:rPr>
                <w:sz w:val="15"/>
                <w:szCs w:val="15"/>
              </w:rPr>
            </w:pPr>
            <w:r>
              <w:rPr>
                <w:sz w:val="15"/>
                <w:szCs w:val="15"/>
              </w:rPr>
              <w:t>-</w:t>
            </w:r>
            <w:r w:rsidR="00A94A10">
              <w:rPr>
                <w:sz w:val="15"/>
                <w:szCs w:val="15"/>
              </w:rPr>
              <w:t>0.00</w:t>
            </w:r>
            <w:r w:rsidR="00A5070A">
              <w:rPr>
                <w:sz w:val="15"/>
                <w:szCs w:val="15"/>
              </w:rPr>
              <w:t>2</w:t>
            </w:r>
          </w:p>
          <w:p w14:paraId="5FA27C30" w14:textId="25B80746" w:rsidR="00A94A10" w:rsidRPr="009C7364" w:rsidRDefault="00A94A10" w:rsidP="00BE68EC">
            <w:pPr>
              <w:jc w:val="center"/>
              <w:rPr>
                <w:sz w:val="15"/>
                <w:szCs w:val="15"/>
              </w:rPr>
            </w:pPr>
            <w:r>
              <w:rPr>
                <w:sz w:val="15"/>
                <w:szCs w:val="15"/>
              </w:rPr>
              <w:t>(0.00</w:t>
            </w:r>
            <w:r w:rsidR="005D50F4">
              <w:rPr>
                <w:sz w:val="15"/>
                <w:szCs w:val="15"/>
              </w:rPr>
              <w:t>7</w:t>
            </w:r>
            <w:r>
              <w:rPr>
                <w:sz w:val="15"/>
                <w:szCs w:val="15"/>
              </w:rPr>
              <w:t>)</w:t>
            </w:r>
          </w:p>
        </w:tc>
        <w:tc>
          <w:tcPr>
            <w:tcW w:w="1984" w:type="dxa"/>
            <w:tcBorders>
              <w:right w:val="single" w:sz="4" w:space="0" w:color="auto"/>
            </w:tcBorders>
            <w:vAlign w:val="center"/>
          </w:tcPr>
          <w:p w14:paraId="778320CA" w14:textId="6F2EC1BD" w:rsidR="00A94A10" w:rsidRDefault="00A94A10" w:rsidP="00BE68EC">
            <w:pPr>
              <w:jc w:val="center"/>
              <w:rPr>
                <w:sz w:val="15"/>
                <w:szCs w:val="15"/>
              </w:rPr>
            </w:pPr>
            <w:r>
              <w:rPr>
                <w:sz w:val="15"/>
                <w:szCs w:val="15"/>
              </w:rPr>
              <w:t>0.00</w:t>
            </w:r>
            <w:r w:rsidR="00370677">
              <w:rPr>
                <w:sz w:val="15"/>
                <w:szCs w:val="15"/>
              </w:rPr>
              <w:t>4</w:t>
            </w:r>
          </w:p>
          <w:p w14:paraId="7C8DE009" w14:textId="69251353" w:rsidR="00A94A10" w:rsidRPr="00636169" w:rsidRDefault="00A94A10" w:rsidP="00BE68EC">
            <w:pPr>
              <w:jc w:val="center"/>
              <w:rPr>
                <w:sz w:val="15"/>
                <w:szCs w:val="15"/>
              </w:rPr>
            </w:pPr>
            <w:r>
              <w:rPr>
                <w:sz w:val="15"/>
                <w:szCs w:val="15"/>
              </w:rPr>
              <w:t>(0.00</w:t>
            </w:r>
            <w:r w:rsidR="00370677">
              <w:rPr>
                <w:sz w:val="15"/>
                <w:szCs w:val="15"/>
              </w:rPr>
              <w:t>7</w:t>
            </w:r>
            <w:r>
              <w:rPr>
                <w:sz w:val="15"/>
                <w:szCs w:val="15"/>
              </w:rPr>
              <w:t>)</w:t>
            </w:r>
          </w:p>
        </w:tc>
        <w:tc>
          <w:tcPr>
            <w:tcW w:w="1560" w:type="dxa"/>
            <w:tcBorders>
              <w:left w:val="single" w:sz="4" w:space="0" w:color="auto"/>
            </w:tcBorders>
            <w:vAlign w:val="center"/>
          </w:tcPr>
          <w:p w14:paraId="69D8C6CF" w14:textId="095D39BE" w:rsidR="00A94A10" w:rsidRDefault="00A94A10" w:rsidP="00BE68EC">
            <w:pPr>
              <w:jc w:val="center"/>
              <w:rPr>
                <w:sz w:val="15"/>
                <w:szCs w:val="15"/>
              </w:rPr>
            </w:pPr>
            <w:r>
              <w:rPr>
                <w:sz w:val="15"/>
                <w:szCs w:val="15"/>
              </w:rPr>
              <w:t>-0.02</w:t>
            </w:r>
            <w:r w:rsidR="006D798C">
              <w:rPr>
                <w:sz w:val="15"/>
                <w:szCs w:val="15"/>
              </w:rPr>
              <w:t>8</w:t>
            </w:r>
            <w:r>
              <w:rPr>
                <w:sz w:val="15"/>
                <w:szCs w:val="15"/>
              </w:rPr>
              <w:t>*</w:t>
            </w:r>
          </w:p>
          <w:p w14:paraId="3C4FD1AF" w14:textId="5BE20817" w:rsidR="00A94A10" w:rsidRPr="00636169" w:rsidRDefault="00A94A10" w:rsidP="00BE68EC">
            <w:pPr>
              <w:jc w:val="center"/>
              <w:rPr>
                <w:sz w:val="15"/>
                <w:szCs w:val="15"/>
              </w:rPr>
            </w:pPr>
            <w:r>
              <w:rPr>
                <w:sz w:val="15"/>
                <w:szCs w:val="15"/>
              </w:rPr>
              <w:t>(0.01</w:t>
            </w:r>
            <w:r w:rsidR="006D798C">
              <w:rPr>
                <w:sz w:val="15"/>
                <w:szCs w:val="15"/>
              </w:rPr>
              <w:t>2</w:t>
            </w:r>
            <w:r>
              <w:rPr>
                <w:sz w:val="15"/>
                <w:szCs w:val="15"/>
              </w:rPr>
              <w:t>)</w:t>
            </w:r>
          </w:p>
        </w:tc>
        <w:tc>
          <w:tcPr>
            <w:tcW w:w="1557" w:type="dxa"/>
            <w:vAlign w:val="center"/>
          </w:tcPr>
          <w:p w14:paraId="5D2C0249" w14:textId="2A11CAA5" w:rsidR="00A94A10" w:rsidRPr="00AB03E7" w:rsidRDefault="00A94A10" w:rsidP="00BE68EC">
            <w:pPr>
              <w:jc w:val="center"/>
              <w:rPr>
                <w:sz w:val="15"/>
                <w:szCs w:val="15"/>
                <w:vertAlign w:val="superscript"/>
              </w:rPr>
            </w:pPr>
            <w:r>
              <w:rPr>
                <w:sz w:val="15"/>
                <w:szCs w:val="15"/>
              </w:rPr>
              <w:t>-0.</w:t>
            </w:r>
            <w:r w:rsidR="00220C4F">
              <w:rPr>
                <w:sz w:val="15"/>
                <w:szCs w:val="15"/>
              </w:rPr>
              <w:t>017</w:t>
            </w:r>
          </w:p>
          <w:p w14:paraId="7C6090F1" w14:textId="42852DFA" w:rsidR="00A94A10" w:rsidRPr="00AB03E7" w:rsidRDefault="00A94A10" w:rsidP="00BE68EC">
            <w:pPr>
              <w:jc w:val="center"/>
              <w:rPr>
                <w:sz w:val="15"/>
                <w:szCs w:val="15"/>
                <w:vertAlign w:val="superscript"/>
              </w:rPr>
            </w:pPr>
            <w:r>
              <w:rPr>
                <w:sz w:val="15"/>
                <w:szCs w:val="15"/>
              </w:rPr>
              <w:t>(0.0</w:t>
            </w:r>
            <w:r w:rsidR="0016777D">
              <w:rPr>
                <w:sz w:val="15"/>
                <w:szCs w:val="15"/>
              </w:rPr>
              <w:t>11</w:t>
            </w:r>
            <w:r>
              <w:rPr>
                <w:sz w:val="15"/>
                <w:szCs w:val="15"/>
              </w:rPr>
              <w:t>)</w:t>
            </w:r>
          </w:p>
        </w:tc>
        <w:tc>
          <w:tcPr>
            <w:tcW w:w="239" w:type="dxa"/>
          </w:tcPr>
          <w:p w14:paraId="1FA5795F" w14:textId="77777777" w:rsidR="00A94A10" w:rsidRPr="00636169" w:rsidRDefault="00A94A10" w:rsidP="00BE68EC">
            <w:pPr>
              <w:jc w:val="center"/>
              <w:rPr>
                <w:sz w:val="16"/>
                <w:szCs w:val="16"/>
              </w:rPr>
            </w:pPr>
          </w:p>
        </w:tc>
      </w:tr>
      <w:tr w:rsidR="00A94A10" w:rsidRPr="00636169" w14:paraId="7F79FE08" w14:textId="77777777" w:rsidTr="00D5571C">
        <w:trPr>
          <w:gridAfter w:val="1"/>
          <w:wAfter w:w="1560" w:type="dxa"/>
        </w:trPr>
        <w:tc>
          <w:tcPr>
            <w:tcW w:w="1913" w:type="dxa"/>
            <w:tcBorders>
              <w:bottom w:val="nil"/>
            </w:tcBorders>
            <w:vAlign w:val="center"/>
          </w:tcPr>
          <w:p w14:paraId="3D661334" w14:textId="77777777" w:rsidR="00A94A10" w:rsidRPr="009C7364" w:rsidRDefault="00A94A10" w:rsidP="00BE68EC">
            <w:pPr>
              <w:rPr>
                <w:sz w:val="15"/>
                <w:szCs w:val="15"/>
              </w:rPr>
            </w:pPr>
            <w:r w:rsidRPr="009C7364">
              <w:rPr>
                <w:sz w:val="15"/>
                <w:szCs w:val="15"/>
              </w:rPr>
              <w:t>Participate in social groups</w:t>
            </w:r>
          </w:p>
        </w:tc>
        <w:tc>
          <w:tcPr>
            <w:tcW w:w="1773" w:type="dxa"/>
            <w:tcBorders>
              <w:bottom w:val="nil"/>
            </w:tcBorders>
            <w:shd w:val="clear" w:color="auto" w:fill="8DD873" w:themeFill="accent6" w:themeFillTint="99"/>
            <w:vAlign w:val="center"/>
          </w:tcPr>
          <w:p w14:paraId="0FFB8B95" w14:textId="1BF95031" w:rsidR="00A94A10" w:rsidRDefault="00A94A10" w:rsidP="00BE68EC">
            <w:pPr>
              <w:jc w:val="center"/>
              <w:rPr>
                <w:sz w:val="15"/>
                <w:szCs w:val="15"/>
              </w:rPr>
            </w:pPr>
            <w:r>
              <w:rPr>
                <w:sz w:val="15"/>
                <w:szCs w:val="15"/>
              </w:rPr>
              <w:t>-0.01</w:t>
            </w:r>
            <w:r w:rsidR="005D50F4">
              <w:rPr>
                <w:sz w:val="15"/>
                <w:szCs w:val="15"/>
              </w:rPr>
              <w:t>4</w:t>
            </w:r>
            <w:r>
              <w:rPr>
                <w:sz w:val="15"/>
                <w:szCs w:val="15"/>
              </w:rPr>
              <w:t>**</w:t>
            </w:r>
          </w:p>
          <w:p w14:paraId="402696DD" w14:textId="22BCF9DD" w:rsidR="00A94A10" w:rsidRPr="009C7364" w:rsidRDefault="00A94A10" w:rsidP="00BE68EC">
            <w:pPr>
              <w:jc w:val="center"/>
              <w:rPr>
                <w:sz w:val="15"/>
                <w:szCs w:val="15"/>
              </w:rPr>
            </w:pPr>
            <w:r>
              <w:rPr>
                <w:sz w:val="15"/>
                <w:szCs w:val="15"/>
              </w:rPr>
              <w:t>(0.00</w:t>
            </w:r>
            <w:r w:rsidR="005D50F4">
              <w:rPr>
                <w:sz w:val="15"/>
                <w:szCs w:val="15"/>
              </w:rPr>
              <w:t>5</w:t>
            </w:r>
            <w:r>
              <w:rPr>
                <w:sz w:val="15"/>
                <w:szCs w:val="15"/>
              </w:rPr>
              <w:t>)</w:t>
            </w:r>
          </w:p>
        </w:tc>
        <w:tc>
          <w:tcPr>
            <w:tcW w:w="1984" w:type="dxa"/>
            <w:tcBorders>
              <w:bottom w:val="nil"/>
              <w:right w:val="single" w:sz="4" w:space="0" w:color="auto"/>
            </w:tcBorders>
            <w:shd w:val="clear" w:color="auto" w:fill="8DD873" w:themeFill="accent6" w:themeFillTint="99"/>
            <w:vAlign w:val="center"/>
          </w:tcPr>
          <w:p w14:paraId="23767DEB" w14:textId="526BE321" w:rsidR="00A94A10" w:rsidRDefault="00A94A10" w:rsidP="00BE68EC">
            <w:pPr>
              <w:jc w:val="center"/>
              <w:rPr>
                <w:sz w:val="15"/>
                <w:szCs w:val="15"/>
              </w:rPr>
            </w:pPr>
            <w:r>
              <w:rPr>
                <w:sz w:val="15"/>
                <w:szCs w:val="15"/>
              </w:rPr>
              <w:t>-0.00</w:t>
            </w:r>
            <w:r w:rsidR="00370677">
              <w:rPr>
                <w:sz w:val="15"/>
                <w:szCs w:val="15"/>
              </w:rPr>
              <w:t>8</w:t>
            </w:r>
            <w:r>
              <w:rPr>
                <w:sz w:val="15"/>
                <w:szCs w:val="15"/>
              </w:rPr>
              <w:t>*</w:t>
            </w:r>
          </w:p>
          <w:p w14:paraId="13C96DDA" w14:textId="4FA709F6" w:rsidR="00A94A10" w:rsidRPr="00636169" w:rsidRDefault="00A94A10" w:rsidP="00BE68EC">
            <w:pPr>
              <w:jc w:val="center"/>
              <w:rPr>
                <w:sz w:val="15"/>
                <w:szCs w:val="15"/>
              </w:rPr>
            </w:pPr>
            <w:r>
              <w:rPr>
                <w:sz w:val="15"/>
                <w:szCs w:val="15"/>
              </w:rPr>
              <w:t>(0.00</w:t>
            </w:r>
            <w:r w:rsidR="00370677">
              <w:rPr>
                <w:sz w:val="15"/>
                <w:szCs w:val="15"/>
              </w:rPr>
              <w:t>5</w:t>
            </w:r>
            <w:r>
              <w:rPr>
                <w:sz w:val="15"/>
                <w:szCs w:val="15"/>
              </w:rPr>
              <w:t>)</w:t>
            </w:r>
          </w:p>
        </w:tc>
        <w:tc>
          <w:tcPr>
            <w:tcW w:w="1560" w:type="dxa"/>
            <w:tcBorders>
              <w:left w:val="single" w:sz="4" w:space="0" w:color="auto"/>
              <w:bottom w:val="nil"/>
            </w:tcBorders>
            <w:shd w:val="clear" w:color="auto" w:fill="8DD873" w:themeFill="accent6" w:themeFillTint="99"/>
            <w:vAlign w:val="center"/>
          </w:tcPr>
          <w:p w14:paraId="3187F0A1" w14:textId="77777777" w:rsidR="00A94A10" w:rsidRDefault="00A94A10" w:rsidP="00BE68EC">
            <w:pPr>
              <w:jc w:val="center"/>
              <w:rPr>
                <w:sz w:val="15"/>
                <w:szCs w:val="15"/>
              </w:rPr>
            </w:pPr>
            <w:r>
              <w:rPr>
                <w:sz w:val="15"/>
                <w:szCs w:val="15"/>
              </w:rPr>
              <w:t>-0.030***</w:t>
            </w:r>
          </w:p>
          <w:p w14:paraId="47271F50" w14:textId="5409EBD8" w:rsidR="00A94A10" w:rsidRPr="00636169" w:rsidRDefault="00A94A10" w:rsidP="00BE68EC">
            <w:pPr>
              <w:jc w:val="center"/>
              <w:rPr>
                <w:sz w:val="15"/>
                <w:szCs w:val="15"/>
              </w:rPr>
            </w:pPr>
            <w:r>
              <w:rPr>
                <w:sz w:val="15"/>
                <w:szCs w:val="15"/>
              </w:rPr>
              <w:t>(0.00</w:t>
            </w:r>
            <w:r w:rsidR="00113CAE">
              <w:rPr>
                <w:sz w:val="15"/>
                <w:szCs w:val="15"/>
              </w:rPr>
              <w:t>9</w:t>
            </w:r>
            <w:r>
              <w:rPr>
                <w:sz w:val="15"/>
                <w:szCs w:val="15"/>
              </w:rPr>
              <w:t>)</w:t>
            </w:r>
          </w:p>
        </w:tc>
        <w:tc>
          <w:tcPr>
            <w:tcW w:w="1557" w:type="dxa"/>
            <w:tcBorders>
              <w:bottom w:val="nil"/>
            </w:tcBorders>
            <w:shd w:val="clear" w:color="auto" w:fill="8DD873" w:themeFill="accent6" w:themeFillTint="99"/>
            <w:vAlign w:val="center"/>
          </w:tcPr>
          <w:p w14:paraId="42E91D33" w14:textId="19868430" w:rsidR="00A94A10" w:rsidRDefault="00A94A10" w:rsidP="00BE68EC">
            <w:pPr>
              <w:jc w:val="center"/>
              <w:rPr>
                <w:sz w:val="15"/>
                <w:szCs w:val="15"/>
              </w:rPr>
            </w:pPr>
            <w:r>
              <w:rPr>
                <w:sz w:val="15"/>
                <w:szCs w:val="15"/>
              </w:rPr>
              <w:t>-0.0</w:t>
            </w:r>
            <w:r w:rsidR="0016777D">
              <w:rPr>
                <w:sz w:val="15"/>
                <w:szCs w:val="15"/>
              </w:rPr>
              <w:t>19</w:t>
            </w:r>
            <w:r>
              <w:rPr>
                <w:sz w:val="15"/>
                <w:szCs w:val="15"/>
              </w:rPr>
              <w:t>*</w:t>
            </w:r>
          </w:p>
          <w:p w14:paraId="0411FEE7" w14:textId="61F50BE8" w:rsidR="00A94A10" w:rsidRPr="00636169" w:rsidRDefault="00A94A10" w:rsidP="00BE68EC">
            <w:pPr>
              <w:jc w:val="center"/>
              <w:rPr>
                <w:sz w:val="15"/>
                <w:szCs w:val="15"/>
              </w:rPr>
            </w:pPr>
            <w:r>
              <w:rPr>
                <w:sz w:val="15"/>
                <w:szCs w:val="15"/>
              </w:rPr>
              <w:t>(0.00</w:t>
            </w:r>
            <w:r w:rsidR="0016777D">
              <w:rPr>
                <w:sz w:val="15"/>
                <w:szCs w:val="15"/>
              </w:rPr>
              <w:t>8</w:t>
            </w:r>
            <w:r>
              <w:rPr>
                <w:sz w:val="15"/>
                <w:szCs w:val="15"/>
              </w:rPr>
              <w:t>)</w:t>
            </w:r>
          </w:p>
        </w:tc>
        <w:tc>
          <w:tcPr>
            <w:tcW w:w="239" w:type="dxa"/>
            <w:tcBorders>
              <w:bottom w:val="nil"/>
            </w:tcBorders>
          </w:tcPr>
          <w:p w14:paraId="416CA16F" w14:textId="77777777" w:rsidR="00A94A10" w:rsidRPr="00636169" w:rsidRDefault="00A94A10" w:rsidP="00BE68EC">
            <w:pPr>
              <w:jc w:val="center"/>
              <w:rPr>
                <w:sz w:val="16"/>
                <w:szCs w:val="16"/>
              </w:rPr>
            </w:pPr>
          </w:p>
        </w:tc>
      </w:tr>
      <w:tr w:rsidR="00A94A10" w:rsidRPr="00636169" w14:paraId="13F1A6ED" w14:textId="77777777" w:rsidTr="00C30043">
        <w:trPr>
          <w:gridAfter w:val="1"/>
          <w:wAfter w:w="1560" w:type="dxa"/>
        </w:trPr>
        <w:tc>
          <w:tcPr>
            <w:tcW w:w="1913" w:type="dxa"/>
            <w:tcBorders>
              <w:top w:val="nil"/>
              <w:bottom w:val="nil"/>
            </w:tcBorders>
            <w:vAlign w:val="center"/>
          </w:tcPr>
          <w:p w14:paraId="06136987" w14:textId="77777777" w:rsidR="00A94A10" w:rsidRPr="009C7364" w:rsidRDefault="00A94A10" w:rsidP="00BE68EC">
            <w:pPr>
              <w:rPr>
                <w:sz w:val="15"/>
                <w:szCs w:val="15"/>
              </w:rPr>
            </w:pPr>
            <w:r w:rsidRPr="009C7364">
              <w:rPr>
                <w:sz w:val="15"/>
                <w:szCs w:val="15"/>
              </w:rPr>
              <w:t xml:space="preserve">Few people to count on </w:t>
            </w:r>
          </w:p>
        </w:tc>
        <w:tc>
          <w:tcPr>
            <w:tcW w:w="1773" w:type="dxa"/>
            <w:tcBorders>
              <w:top w:val="nil"/>
              <w:bottom w:val="nil"/>
            </w:tcBorders>
            <w:shd w:val="clear" w:color="auto" w:fill="F1A983" w:themeFill="accent2" w:themeFillTint="99"/>
            <w:vAlign w:val="center"/>
          </w:tcPr>
          <w:p w14:paraId="31C413D2" w14:textId="658EC810" w:rsidR="00A94A10" w:rsidRDefault="00A94A10" w:rsidP="00BE68EC">
            <w:pPr>
              <w:jc w:val="center"/>
              <w:rPr>
                <w:sz w:val="15"/>
                <w:szCs w:val="15"/>
              </w:rPr>
            </w:pPr>
            <w:r>
              <w:rPr>
                <w:sz w:val="15"/>
                <w:szCs w:val="15"/>
              </w:rPr>
              <w:t>0.03</w:t>
            </w:r>
            <w:r w:rsidR="005D50F4">
              <w:rPr>
                <w:sz w:val="15"/>
                <w:szCs w:val="15"/>
              </w:rPr>
              <w:t>7*</w:t>
            </w:r>
            <w:r>
              <w:rPr>
                <w:sz w:val="15"/>
                <w:szCs w:val="15"/>
              </w:rPr>
              <w:t>**</w:t>
            </w:r>
          </w:p>
          <w:p w14:paraId="4A392678" w14:textId="12E0B6ED" w:rsidR="00A94A10" w:rsidRPr="009C7364" w:rsidRDefault="00A94A10" w:rsidP="00BE68EC">
            <w:pPr>
              <w:jc w:val="center"/>
              <w:rPr>
                <w:sz w:val="15"/>
                <w:szCs w:val="15"/>
              </w:rPr>
            </w:pPr>
            <w:r>
              <w:rPr>
                <w:sz w:val="15"/>
                <w:szCs w:val="15"/>
              </w:rPr>
              <w:t>(0.00</w:t>
            </w:r>
            <w:r w:rsidR="005D50F4">
              <w:rPr>
                <w:sz w:val="15"/>
                <w:szCs w:val="15"/>
              </w:rPr>
              <w:t>6</w:t>
            </w:r>
            <w:r>
              <w:rPr>
                <w:sz w:val="15"/>
                <w:szCs w:val="15"/>
              </w:rPr>
              <w:t>)</w:t>
            </w:r>
          </w:p>
        </w:tc>
        <w:tc>
          <w:tcPr>
            <w:tcW w:w="1984" w:type="dxa"/>
            <w:tcBorders>
              <w:top w:val="nil"/>
              <w:bottom w:val="nil"/>
              <w:right w:val="single" w:sz="4" w:space="0" w:color="auto"/>
            </w:tcBorders>
            <w:shd w:val="clear" w:color="auto" w:fill="F1A983" w:themeFill="accent2" w:themeFillTint="99"/>
            <w:vAlign w:val="center"/>
          </w:tcPr>
          <w:p w14:paraId="0D85B8DE" w14:textId="56E47483" w:rsidR="00A94A10" w:rsidRDefault="00A94A10" w:rsidP="00BE68EC">
            <w:pPr>
              <w:jc w:val="center"/>
              <w:rPr>
                <w:sz w:val="15"/>
                <w:szCs w:val="15"/>
              </w:rPr>
            </w:pPr>
            <w:r>
              <w:rPr>
                <w:sz w:val="15"/>
                <w:szCs w:val="15"/>
              </w:rPr>
              <w:t>0.0</w:t>
            </w:r>
            <w:r w:rsidR="00E97F13">
              <w:rPr>
                <w:sz w:val="15"/>
                <w:szCs w:val="15"/>
              </w:rPr>
              <w:t>20</w:t>
            </w:r>
            <w:r>
              <w:rPr>
                <w:sz w:val="15"/>
                <w:szCs w:val="15"/>
              </w:rPr>
              <w:t>***</w:t>
            </w:r>
          </w:p>
          <w:p w14:paraId="5E11C602" w14:textId="38E6DCD9" w:rsidR="00A94A10" w:rsidRPr="00636169" w:rsidRDefault="00A94A10" w:rsidP="00BE68EC">
            <w:pPr>
              <w:jc w:val="center"/>
              <w:rPr>
                <w:sz w:val="15"/>
                <w:szCs w:val="15"/>
              </w:rPr>
            </w:pPr>
            <w:r>
              <w:rPr>
                <w:sz w:val="15"/>
                <w:szCs w:val="15"/>
              </w:rPr>
              <w:t>(0.00</w:t>
            </w:r>
            <w:r w:rsidR="00E97F13">
              <w:rPr>
                <w:sz w:val="15"/>
                <w:szCs w:val="15"/>
              </w:rPr>
              <w:t>5</w:t>
            </w:r>
            <w:r>
              <w:rPr>
                <w:sz w:val="15"/>
                <w:szCs w:val="15"/>
              </w:rPr>
              <w:t>)</w:t>
            </w:r>
          </w:p>
        </w:tc>
        <w:tc>
          <w:tcPr>
            <w:tcW w:w="1560" w:type="dxa"/>
            <w:tcBorders>
              <w:top w:val="nil"/>
              <w:left w:val="single" w:sz="4" w:space="0" w:color="auto"/>
              <w:bottom w:val="nil"/>
            </w:tcBorders>
            <w:shd w:val="clear" w:color="auto" w:fill="F1A983" w:themeFill="accent2" w:themeFillTint="99"/>
            <w:vAlign w:val="center"/>
          </w:tcPr>
          <w:p w14:paraId="6AE61EC1" w14:textId="44E36008" w:rsidR="00A94A10" w:rsidRDefault="00A94A10" w:rsidP="00BE68EC">
            <w:pPr>
              <w:jc w:val="center"/>
              <w:rPr>
                <w:sz w:val="15"/>
                <w:szCs w:val="15"/>
              </w:rPr>
            </w:pPr>
            <w:r>
              <w:rPr>
                <w:sz w:val="15"/>
                <w:szCs w:val="15"/>
              </w:rPr>
              <w:t>0.0</w:t>
            </w:r>
            <w:r w:rsidR="00113CAE">
              <w:rPr>
                <w:sz w:val="15"/>
                <w:szCs w:val="15"/>
              </w:rPr>
              <w:t>94</w:t>
            </w:r>
            <w:r>
              <w:rPr>
                <w:sz w:val="15"/>
                <w:szCs w:val="15"/>
              </w:rPr>
              <w:t>***</w:t>
            </w:r>
          </w:p>
          <w:p w14:paraId="1936BEC3" w14:textId="0897F2F7" w:rsidR="00A94A10" w:rsidRPr="00636169" w:rsidRDefault="00A94A10" w:rsidP="00BE68EC">
            <w:pPr>
              <w:jc w:val="center"/>
              <w:rPr>
                <w:sz w:val="15"/>
                <w:szCs w:val="15"/>
              </w:rPr>
            </w:pPr>
            <w:r>
              <w:rPr>
                <w:sz w:val="15"/>
                <w:szCs w:val="15"/>
              </w:rPr>
              <w:t>(0.0</w:t>
            </w:r>
            <w:r w:rsidR="00113CAE">
              <w:rPr>
                <w:sz w:val="15"/>
                <w:szCs w:val="15"/>
              </w:rPr>
              <w:t>10</w:t>
            </w:r>
            <w:r>
              <w:rPr>
                <w:sz w:val="15"/>
                <w:szCs w:val="15"/>
              </w:rPr>
              <w:t>)</w:t>
            </w:r>
          </w:p>
        </w:tc>
        <w:tc>
          <w:tcPr>
            <w:tcW w:w="1557" w:type="dxa"/>
            <w:tcBorders>
              <w:top w:val="nil"/>
              <w:bottom w:val="nil"/>
            </w:tcBorders>
            <w:shd w:val="clear" w:color="auto" w:fill="F1A983" w:themeFill="accent2" w:themeFillTint="99"/>
            <w:vAlign w:val="center"/>
          </w:tcPr>
          <w:p w14:paraId="64410100" w14:textId="620CED7A" w:rsidR="00A94A10" w:rsidRDefault="00A94A10" w:rsidP="00BE68EC">
            <w:pPr>
              <w:jc w:val="center"/>
              <w:rPr>
                <w:sz w:val="15"/>
                <w:szCs w:val="15"/>
              </w:rPr>
            </w:pPr>
            <w:r>
              <w:rPr>
                <w:sz w:val="15"/>
                <w:szCs w:val="15"/>
              </w:rPr>
              <w:t>0.0</w:t>
            </w:r>
            <w:r w:rsidR="0016777D">
              <w:rPr>
                <w:sz w:val="15"/>
                <w:szCs w:val="15"/>
              </w:rPr>
              <w:t>66</w:t>
            </w:r>
            <w:r>
              <w:rPr>
                <w:sz w:val="15"/>
                <w:szCs w:val="15"/>
              </w:rPr>
              <w:t>***</w:t>
            </w:r>
          </w:p>
          <w:p w14:paraId="2CD045C0" w14:textId="72D1B46B" w:rsidR="00A94A10" w:rsidRPr="00636169" w:rsidRDefault="00A94A10" w:rsidP="00BE68EC">
            <w:pPr>
              <w:jc w:val="center"/>
              <w:rPr>
                <w:sz w:val="15"/>
                <w:szCs w:val="15"/>
              </w:rPr>
            </w:pPr>
            <w:r>
              <w:rPr>
                <w:sz w:val="15"/>
                <w:szCs w:val="15"/>
              </w:rPr>
              <w:t>(0.00</w:t>
            </w:r>
            <w:r w:rsidR="0016777D">
              <w:rPr>
                <w:sz w:val="15"/>
                <w:szCs w:val="15"/>
              </w:rPr>
              <w:t>9</w:t>
            </w:r>
            <w:r>
              <w:rPr>
                <w:sz w:val="15"/>
                <w:szCs w:val="15"/>
              </w:rPr>
              <w:t>)</w:t>
            </w:r>
          </w:p>
        </w:tc>
        <w:tc>
          <w:tcPr>
            <w:tcW w:w="239" w:type="dxa"/>
            <w:tcBorders>
              <w:top w:val="nil"/>
              <w:bottom w:val="nil"/>
            </w:tcBorders>
          </w:tcPr>
          <w:p w14:paraId="4D10AE0A" w14:textId="77777777" w:rsidR="00A94A10" w:rsidRPr="00636169" w:rsidRDefault="00A94A10" w:rsidP="00BE68EC">
            <w:pPr>
              <w:jc w:val="center"/>
              <w:rPr>
                <w:sz w:val="16"/>
                <w:szCs w:val="16"/>
              </w:rPr>
            </w:pPr>
          </w:p>
        </w:tc>
      </w:tr>
      <w:tr w:rsidR="00A94A10" w:rsidRPr="00636169" w14:paraId="427E0F7E" w14:textId="77777777" w:rsidTr="009055D1">
        <w:trPr>
          <w:gridAfter w:val="1"/>
          <w:wAfter w:w="1560" w:type="dxa"/>
        </w:trPr>
        <w:tc>
          <w:tcPr>
            <w:tcW w:w="1913" w:type="dxa"/>
            <w:tcBorders>
              <w:top w:val="nil"/>
              <w:bottom w:val="nil"/>
            </w:tcBorders>
            <w:vAlign w:val="center"/>
          </w:tcPr>
          <w:p w14:paraId="389D9E27" w14:textId="77777777" w:rsidR="00A94A10" w:rsidRPr="009C7364" w:rsidRDefault="00A94A10" w:rsidP="00BE68EC">
            <w:pPr>
              <w:rPr>
                <w:sz w:val="15"/>
                <w:szCs w:val="15"/>
              </w:rPr>
            </w:pPr>
            <w:r w:rsidRPr="009C7364">
              <w:rPr>
                <w:sz w:val="15"/>
                <w:szCs w:val="15"/>
              </w:rPr>
              <w:t>Probable mental health problem</w:t>
            </w:r>
          </w:p>
        </w:tc>
        <w:tc>
          <w:tcPr>
            <w:tcW w:w="1773" w:type="dxa"/>
            <w:tcBorders>
              <w:top w:val="nil"/>
              <w:bottom w:val="nil"/>
            </w:tcBorders>
            <w:vAlign w:val="center"/>
          </w:tcPr>
          <w:p w14:paraId="11C8FFA9" w14:textId="77777777" w:rsidR="00A94A10" w:rsidRPr="009C7364" w:rsidRDefault="00A94A10" w:rsidP="00BE68EC">
            <w:pPr>
              <w:jc w:val="center"/>
              <w:rPr>
                <w:sz w:val="15"/>
                <w:szCs w:val="15"/>
              </w:rPr>
            </w:pPr>
            <w:r>
              <w:rPr>
                <w:sz w:val="15"/>
                <w:szCs w:val="15"/>
              </w:rPr>
              <w:t>/</w:t>
            </w:r>
          </w:p>
        </w:tc>
        <w:tc>
          <w:tcPr>
            <w:tcW w:w="1984" w:type="dxa"/>
            <w:tcBorders>
              <w:top w:val="nil"/>
              <w:bottom w:val="nil"/>
              <w:right w:val="single" w:sz="4" w:space="0" w:color="auto"/>
            </w:tcBorders>
            <w:shd w:val="clear" w:color="auto" w:fill="BF4E14" w:themeFill="accent2" w:themeFillShade="BF"/>
            <w:vAlign w:val="center"/>
          </w:tcPr>
          <w:p w14:paraId="6704A06D" w14:textId="4B845287" w:rsidR="00A94A10" w:rsidRDefault="00A94A10" w:rsidP="00BE68EC">
            <w:pPr>
              <w:jc w:val="center"/>
              <w:rPr>
                <w:sz w:val="15"/>
                <w:szCs w:val="15"/>
              </w:rPr>
            </w:pPr>
            <w:r>
              <w:rPr>
                <w:sz w:val="15"/>
                <w:szCs w:val="15"/>
              </w:rPr>
              <w:t>0.1</w:t>
            </w:r>
            <w:r w:rsidR="00E97F13">
              <w:rPr>
                <w:sz w:val="15"/>
                <w:szCs w:val="15"/>
              </w:rPr>
              <w:t>40</w:t>
            </w:r>
            <w:r>
              <w:rPr>
                <w:sz w:val="15"/>
                <w:szCs w:val="15"/>
              </w:rPr>
              <w:t>***</w:t>
            </w:r>
          </w:p>
          <w:p w14:paraId="378B71FB" w14:textId="60AAB21F" w:rsidR="00A94A10" w:rsidRPr="00636169" w:rsidRDefault="00A94A10" w:rsidP="00BE68EC">
            <w:pPr>
              <w:jc w:val="center"/>
              <w:rPr>
                <w:sz w:val="15"/>
                <w:szCs w:val="15"/>
              </w:rPr>
            </w:pPr>
            <w:r>
              <w:rPr>
                <w:sz w:val="15"/>
                <w:szCs w:val="15"/>
              </w:rPr>
              <w:t>(0.0</w:t>
            </w:r>
            <w:r w:rsidR="00E97F13">
              <w:rPr>
                <w:sz w:val="15"/>
                <w:szCs w:val="15"/>
              </w:rPr>
              <w:t>11</w:t>
            </w:r>
            <w:r>
              <w:rPr>
                <w:sz w:val="15"/>
                <w:szCs w:val="15"/>
              </w:rPr>
              <w:t>)</w:t>
            </w:r>
          </w:p>
        </w:tc>
        <w:tc>
          <w:tcPr>
            <w:tcW w:w="1560" w:type="dxa"/>
            <w:tcBorders>
              <w:top w:val="nil"/>
              <w:left w:val="single" w:sz="4" w:space="0" w:color="auto"/>
              <w:bottom w:val="nil"/>
            </w:tcBorders>
            <w:vAlign w:val="center"/>
          </w:tcPr>
          <w:p w14:paraId="7BA071BD" w14:textId="77777777" w:rsidR="00A94A10" w:rsidRPr="00636169" w:rsidRDefault="00A94A10" w:rsidP="00BE68EC">
            <w:pPr>
              <w:jc w:val="center"/>
              <w:rPr>
                <w:sz w:val="15"/>
                <w:szCs w:val="15"/>
              </w:rPr>
            </w:pPr>
            <w:r w:rsidRPr="00636169">
              <w:rPr>
                <w:sz w:val="15"/>
                <w:szCs w:val="15"/>
              </w:rPr>
              <w:t>/</w:t>
            </w:r>
          </w:p>
        </w:tc>
        <w:tc>
          <w:tcPr>
            <w:tcW w:w="1557" w:type="dxa"/>
            <w:tcBorders>
              <w:top w:val="nil"/>
              <w:bottom w:val="nil"/>
            </w:tcBorders>
            <w:shd w:val="clear" w:color="auto" w:fill="BF4E14" w:themeFill="accent2" w:themeFillShade="BF"/>
            <w:vAlign w:val="center"/>
          </w:tcPr>
          <w:p w14:paraId="55384B68" w14:textId="311BA66D" w:rsidR="00A94A10" w:rsidRDefault="00A94A10" w:rsidP="00BE68EC">
            <w:pPr>
              <w:jc w:val="center"/>
              <w:rPr>
                <w:sz w:val="15"/>
                <w:szCs w:val="15"/>
              </w:rPr>
            </w:pPr>
            <w:r>
              <w:rPr>
                <w:sz w:val="15"/>
                <w:szCs w:val="15"/>
              </w:rPr>
              <w:t>0.2</w:t>
            </w:r>
            <w:r w:rsidR="006E3ED3">
              <w:rPr>
                <w:sz w:val="15"/>
                <w:szCs w:val="15"/>
              </w:rPr>
              <w:t>73</w:t>
            </w:r>
            <w:r>
              <w:rPr>
                <w:sz w:val="15"/>
                <w:szCs w:val="15"/>
              </w:rPr>
              <w:t>***</w:t>
            </w:r>
          </w:p>
          <w:p w14:paraId="6BB1B669" w14:textId="1862EC7D" w:rsidR="00A94A10" w:rsidRPr="00636169" w:rsidRDefault="00A94A10" w:rsidP="00BE68EC">
            <w:pPr>
              <w:jc w:val="center"/>
              <w:rPr>
                <w:sz w:val="15"/>
                <w:szCs w:val="15"/>
              </w:rPr>
            </w:pPr>
            <w:r>
              <w:rPr>
                <w:sz w:val="15"/>
                <w:szCs w:val="15"/>
              </w:rPr>
              <w:t>(0.01</w:t>
            </w:r>
            <w:r w:rsidR="006E3ED3">
              <w:rPr>
                <w:sz w:val="15"/>
                <w:szCs w:val="15"/>
              </w:rPr>
              <w:t>6</w:t>
            </w:r>
            <w:r>
              <w:rPr>
                <w:sz w:val="15"/>
                <w:szCs w:val="15"/>
              </w:rPr>
              <w:t>)</w:t>
            </w:r>
          </w:p>
        </w:tc>
        <w:tc>
          <w:tcPr>
            <w:tcW w:w="239" w:type="dxa"/>
            <w:tcBorders>
              <w:top w:val="nil"/>
              <w:bottom w:val="nil"/>
            </w:tcBorders>
          </w:tcPr>
          <w:p w14:paraId="1BAFCDFC" w14:textId="77777777" w:rsidR="00A94A10" w:rsidRPr="00636169" w:rsidRDefault="00A94A10" w:rsidP="00BE68EC">
            <w:pPr>
              <w:jc w:val="center"/>
              <w:rPr>
                <w:sz w:val="14"/>
                <w:szCs w:val="14"/>
              </w:rPr>
            </w:pPr>
          </w:p>
        </w:tc>
      </w:tr>
      <w:tr w:rsidR="00A94A10" w:rsidRPr="00636169" w14:paraId="2073C0C9" w14:textId="77777777" w:rsidTr="00D5571C">
        <w:trPr>
          <w:gridAfter w:val="1"/>
          <w:wAfter w:w="1560" w:type="dxa"/>
        </w:trPr>
        <w:tc>
          <w:tcPr>
            <w:tcW w:w="1913" w:type="dxa"/>
            <w:tcBorders>
              <w:top w:val="nil"/>
              <w:bottom w:val="single" w:sz="4" w:space="0" w:color="auto"/>
            </w:tcBorders>
            <w:vAlign w:val="center"/>
          </w:tcPr>
          <w:p w14:paraId="79253188" w14:textId="3CA1A3D8" w:rsidR="00A94A10" w:rsidRDefault="00A94A10" w:rsidP="00BE68EC">
            <w:pPr>
              <w:rPr>
                <w:sz w:val="16"/>
                <w:szCs w:val="16"/>
              </w:rPr>
            </w:pPr>
            <w:r>
              <w:rPr>
                <w:sz w:val="15"/>
                <w:szCs w:val="15"/>
              </w:rPr>
              <w:t xml:space="preserve">Year dummy </w:t>
            </w:r>
            <w:r>
              <w:rPr>
                <w:sz w:val="16"/>
                <w:szCs w:val="16"/>
              </w:rPr>
              <w:t>– 202</w:t>
            </w:r>
            <w:r w:rsidR="003D6D4C">
              <w:rPr>
                <w:sz w:val="16"/>
                <w:szCs w:val="16"/>
              </w:rPr>
              <w:t>1</w:t>
            </w:r>
            <w:r>
              <w:rPr>
                <w:sz w:val="16"/>
                <w:szCs w:val="16"/>
              </w:rPr>
              <w:t xml:space="preserve"> </w:t>
            </w:r>
          </w:p>
          <w:p w14:paraId="22EA29AA" w14:textId="3D38A554" w:rsidR="00A94A10" w:rsidRPr="00110C72" w:rsidRDefault="00A94A10" w:rsidP="00BE68EC">
            <w:pPr>
              <w:rPr>
                <w:i/>
                <w:iCs/>
                <w:sz w:val="15"/>
                <w:szCs w:val="15"/>
              </w:rPr>
            </w:pPr>
            <w:r w:rsidRPr="00110C72">
              <w:rPr>
                <w:i/>
                <w:iCs/>
                <w:sz w:val="16"/>
                <w:szCs w:val="16"/>
              </w:rPr>
              <w:t>(ref: 202</w:t>
            </w:r>
            <w:r w:rsidR="003D6D4C">
              <w:rPr>
                <w:i/>
                <w:iCs/>
                <w:sz w:val="16"/>
                <w:szCs w:val="16"/>
              </w:rPr>
              <w:t>3</w:t>
            </w:r>
            <w:r w:rsidRPr="00110C72">
              <w:rPr>
                <w:i/>
                <w:iCs/>
                <w:sz w:val="16"/>
                <w:szCs w:val="16"/>
              </w:rPr>
              <w:t>)</w:t>
            </w:r>
          </w:p>
        </w:tc>
        <w:tc>
          <w:tcPr>
            <w:tcW w:w="1773" w:type="dxa"/>
            <w:tcBorders>
              <w:top w:val="nil"/>
              <w:bottom w:val="single" w:sz="4" w:space="0" w:color="auto"/>
            </w:tcBorders>
            <w:shd w:val="clear" w:color="auto" w:fill="E97132" w:themeFill="accent2"/>
            <w:vAlign w:val="center"/>
          </w:tcPr>
          <w:p w14:paraId="0C4D30F5" w14:textId="51D66F7F" w:rsidR="00A94A10" w:rsidRDefault="00A94A10" w:rsidP="00BE68EC">
            <w:pPr>
              <w:jc w:val="center"/>
              <w:rPr>
                <w:sz w:val="15"/>
                <w:szCs w:val="15"/>
              </w:rPr>
            </w:pPr>
            <w:r>
              <w:rPr>
                <w:sz w:val="15"/>
                <w:szCs w:val="15"/>
              </w:rPr>
              <w:t>0.025***</w:t>
            </w:r>
          </w:p>
          <w:p w14:paraId="085BE473" w14:textId="17236277" w:rsidR="00A94A10" w:rsidRDefault="00A94A10" w:rsidP="00BE68EC">
            <w:pPr>
              <w:jc w:val="center"/>
              <w:rPr>
                <w:sz w:val="15"/>
                <w:szCs w:val="15"/>
              </w:rPr>
            </w:pPr>
            <w:r>
              <w:rPr>
                <w:sz w:val="15"/>
                <w:szCs w:val="15"/>
              </w:rPr>
              <w:t>(0.00</w:t>
            </w:r>
            <w:r w:rsidR="005D50F4">
              <w:rPr>
                <w:sz w:val="15"/>
                <w:szCs w:val="15"/>
              </w:rPr>
              <w:t>5</w:t>
            </w:r>
            <w:r>
              <w:rPr>
                <w:sz w:val="15"/>
                <w:szCs w:val="15"/>
              </w:rPr>
              <w:t>)</w:t>
            </w:r>
          </w:p>
        </w:tc>
        <w:tc>
          <w:tcPr>
            <w:tcW w:w="1984" w:type="dxa"/>
            <w:tcBorders>
              <w:top w:val="nil"/>
              <w:bottom w:val="single" w:sz="4" w:space="0" w:color="auto"/>
              <w:right w:val="single" w:sz="4" w:space="0" w:color="auto"/>
            </w:tcBorders>
            <w:shd w:val="clear" w:color="auto" w:fill="E97132" w:themeFill="accent2"/>
            <w:vAlign w:val="center"/>
          </w:tcPr>
          <w:p w14:paraId="4857C128" w14:textId="18EA7371" w:rsidR="00A94A10" w:rsidRDefault="00A94A10" w:rsidP="00BE68EC">
            <w:pPr>
              <w:jc w:val="center"/>
              <w:rPr>
                <w:sz w:val="15"/>
                <w:szCs w:val="15"/>
              </w:rPr>
            </w:pPr>
            <w:r>
              <w:rPr>
                <w:sz w:val="15"/>
                <w:szCs w:val="15"/>
              </w:rPr>
              <w:t>0.</w:t>
            </w:r>
            <w:r w:rsidR="00564865">
              <w:rPr>
                <w:sz w:val="15"/>
                <w:szCs w:val="15"/>
              </w:rPr>
              <w:t>023</w:t>
            </w:r>
            <w:r>
              <w:rPr>
                <w:sz w:val="15"/>
                <w:szCs w:val="15"/>
              </w:rPr>
              <w:t>***</w:t>
            </w:r>
          </w:p>
          <w:p w14:paraId="6999E9E7" w14:textId="4E95F598" w:rsidR="00A94A10" w:rsidRPr="00636169" w:rsidRDefault="00A94A10" w:rsidP="00BE68EC">
            <w:pPr>
              <w:jc w:val="center"/>
              <w:rPr>
                <w:sz w:val="15"/>
                <w:szCs w:val="15"/>
              </w:rPr>
            </w:pPr>
            <w:r>
              <w:rPr>
                <w:sz w:val="15"/>
                <w:szCs w:val="15"/>
              </w:rPr>
              <w:t>(0.00</w:t>
            </w:r>
            <w:r w:rsidR="00564865">
              <w:rPr>
                <w:sz w:val="15"/>
                <w:szCs w:val="15"/>
              </w:rPr>
              <w:t>5</w:t>
            </w:r>
            <w:r>
              <w:rPr>
                <w:sz w:val="15"/>
                <w:szCs w:val="15"/>
              </w:rPr>
              <w:t>)</w:t>
            </w:r>
          </w:p>
        </w:tc>
        <w:tc>
          <w:tcPr>
            <w:tcW w:w="1560" w:type="dxa"/>
            <w:tcBorders>
              <w:top w:val="nil"/>
              <w:left w:val="single" w:sz="4" w:space="0" w:color="auto"/>
              <w:bottom w:val="single" w:sz="4" w:space="0" w:color="auto"/>
            </w:tcBorders>
            <w:shd w:val="clear" w:color="auto" w:fill="E97132" w:themeFill="accent2"/>
            <w:vAlign w:val="center"/>
          </w:tcPr>
          <w:p w14:paraId="50AF42F8" w14:textId="03F33FCC" w:rsidR="00A94A10" w:rsidRDefault="00A94A10" w:rsidP="00BE68EC">
            <w:pPr>
              <w:jc w:val="center"/>
              <w:rPr>
                <w:sz w:val="15"/>
                <w:szCs w:val="15"/>
              </w:rPr>
            </w:pPr>
            <w:r>
              <w:rPr>
                <w:sz w:val="15"/>
                <w:szCs w:val="15"/>
              </w:rPr>
              <w:t>0.</w:t>
            </w:r>
            <w:r w:rsidR="00113CAE">
              <w:rPr>
                <w:sz w:val="15"/>
                <w:szCs w:val="15"/>
              </w:rPr>
              <w:t>06</w:t>
            </w:r>
            <w:r w:rsidR="006E3ED3">
              <w:rPr>
                <w:sz w:val="15"/>
                <w:szCs w:val="15"/>
              </w:rPr>
              <w:t>9</w:t>
            </w:r>
            <w:r>
              <w:rPr>
                <w:sz w:val="15"/>
                <w:szCs w:val="15"/>
              </w:rPr>
              <w:t>***</w:t>
            </w:r>
          </w:p>
          <w:p w14:paraId="6EA90E31" w14:textId="7AEC9AAD" w:rsidR="00A94A10" w:rsidRPr="00636169" w:rsidRDefault="00A94A10" w:rsidP="00BE68EC">
            <w:pPr>
              <w:jc w:val="center"/>
              <w:rPr>
                <w:sz w:val="15"/>
                <w:szCs w:val="15"/>
              </w:rPr>
            </w:pPr>
            <w:r>
              <w:rPr>
                <w:sz w:val="15"/>
                <w:szCs w:val="15"/>
              </w:rPr>
              <w:t>(0.00</w:t>
            </w:r>
            <w:r w:rsidR="00565A01">
              <w:rPr>
                <w:sz w:val="15"/>
                <w:szCs w:val="15"/>
              </w:rPr>
              <w:t>8</w:t>
            </w:r>
            <w:r>
              <w:rPr>
                <w:sz w:val="15"/>
                <w:szCs w:val="15"/>
              </w:rPr>
              <w:t>)</w:t>
            </w:r>
          </w:p>
        </w:tc>
        <w:tc>
          <w:tcPr>
            <w:tcW w:w="1557" w:type="dxa"/>
            <w:tcBorders>
              <w:top w:val="nil"/>
              <w:bottom w:val="single" w:sz="4" w:space="0" w:color="auto"/>
            </w:tcBorders>
            <w:shd w:val="clear" w:color="auto" w:fill="E97132" w:themeFill="accent2"/>
            <w:vAlign w:val="center"/>
          </w:tcPr>
          <w:p w14:paraId="66924F6E" w14:textId="6BF33A0B" w:rsidR="00A94A10" w:rsidRDefault="00A94A10" w:rsidP="00BE68EC">
            <w:pPr>
              <w:jc w:val="center"/>
              <w:rPr>
                <w:sz w:val="15"/>
                <w:szCs w:val="15"/>
              </w:rPr>
            </w:pPr>
            <w:r>
              <w:rPr>
                <w:sz w:val="15"/>
                <w:szCs w:val="15"/>
              </w:rPr>
              <w:t>0.06</w:t>
            </w:r>
            <w:r w:rsidR="006E3ED3">
              <w:rPr>
                <w:sz w:val="15"/>
                <w:szCs w:val="15"/>
              </w:rPr>
              <w:t>4</w:t>
            </w:r>
            <w:r>
              <w:rPr>
                <w:sz w:val="15"/>
                <w:szCs w:val="15"/>
              </w:rPr>
              <w:t>***</w:t>
            </w:r>
          </w:p>
          <w:p w14:paraId="15FE22E1" w14:textId="77777777" w:rsidR="00A94A10" w:rsidRPr="00636169" w:rsidRDefault="00A94A10" w:rsidP="00BE68EC">
            <w:pPr>
              <w:jc w:val="center"/>
              <w:rPr>
                <w:sz w:val="15"/>
                <w:szCs w:val="15"/>
              </w:rPr>
            </w:pPr>
            <w:r>
              <w:rPr>
                <w:sz w:val="15"/>
                <w:szCs w:val="15"/>
              </w:rPr>
              <w:t>(0.006)</w:t>
            </w:r>
          </w:p>
        </w:tc>
        <w:tc>
          <w:tcPr>
            <w:tcW w:w="239" w:type="dxa"/>
            <w:tcBorders>
              <w:top w:val="nil"/>
              <w:bottom w:val="single" w:sz="4" w:space="0" w:color="auto"/>
            </w:tcBorders>
          </w:tcPr>
          <w:p w14:paraId="518CC523" w14:textId="77777777" w:rsidR="00A94A10" w:rsidRPr="00636169" w:rsidRDefault="00A94A10" w:rsidP="00BE68EC">
            <w:pPr>
              <w:jc w:val="center"/>
              <w:rPr>
                <w:sz w:val="14"/>
                <w:szCs w:val="14"/>
              </w:rPr>
            </w:pPr>
          </w:p>
        </w:tc>
      </w:tr>
      <w:tr w:rsidR="00A94A10" w:rsidRPr="00636169" w14:paraId="1EBB4E38" w14:textId="77777777" w:rsidTr="00BE68EC">
        <w:trPr>
          <w:gridAfter w:val="1"/>
          <w:wAfter w:w="1560" w:type="dxa"/>
        </w:trPr>
        <w:tc>
          <w:tcPr>
            <w:tcW w:w="1913" w:type="dxa"/>
            <w:tcBorders>
              <w:top w:val="single" w:sz="4" w:space="0" w:color="auto"/>
            </w:tcBorders>
            <w:vAlign w:val="center"/>
          </w:tcPr>
          <w:p w14:paraId="13B7962B" w14:textId="77777777" w:rsidR="00A94A10" w:rsidRPr="00AE58C7" w:rsidRDefault="00A94A10" w:rsidP="00BE68EC">
            <w:pPr>
              <w:spacing w:line="360" w:lineRule="auto"/>
              <w:rPr>
                <w:sz w:val="14"/>
                <w:szCs w:val="14"/>
                <w:vertAlign w:val="superscript"/>
              </w:rPr>
            </w:pPr>
            <w:r w:rsidRPr="00AE58C7">
              <w:rPr>
                <w:sz w:val="14"/>
                <w:szCs w:val="14"/>
              </w:rPr>
              <w:t>Pseudo R</w:t>
            </w:r>
            <w:r w:rsidRPr="00AE58C7">
              <w:rPr>
                <w:sz w:val="14"/>
                <w:szCs w:val="14"/>
                <w:vertAlign w:val="superscript"/>
              </w:rPr>
              <w:t>2</w:t>
            </w:r>
          </w:p>
        </w:tc>
        <w:tc>
          <w:tcPr>
            <w:tcW w:w="1773" w:type="dxa"/>
            <w:tcBorders>
              <w:top w:val="single" w:sz="4" w:space="0" w:color="auto"/>
            </w:tcBorders>
            <w:vAlign w:val="center"/>
          </w:tcPr>
          <w:p w14:paraId="0508BD7A" w14:textId="653A40A6" w:rsidR="00A94A10" w:rsidRPr="00AE58C7" w:rsidRDefault="00A94A10" w:rsidP="00BE68EC">
            <w:pPr>
              <w:jc w:val="center"/>
              <w:rPr>
                <w:sz w:val="14"/>
                <w:szCs w:val="14"/>
              </w:rPr>
            </w:pPr>
            <w:r>
              <w:rPr>
                <w:sz w:val="14"/>
                <w:szCs w:val="14"/>
              </w:rPr>
              <w:t>0.1</w:t>
            </w:r>
            <w:r w:rsidR="00E82567">
              <w:rPr>
                <w:sz w:val="14"/>
                <w:szCs w:val="14"/>
              </w:rPr>
              <w:t>27</w:t>
            </w:r>
          </w:p>
        </w:tc>
        <w:tc>
          <w:tcPr>
            <w:tcW w:w="1984" w:type="dxa"/>
            <w:tcBorders>
              <w:top w:val="single" w:sz="4" w:space="0" w:color="auto"/>
              <w:right w:val="single" w:sz="4" w:space="0" w:color="auto"/>
            </w:tcBorders>
            <w:vAlign w:val="center"/>
          </w:tcPr>
          <w:p w14:paraId="3B599A3B" w14:textId="2941F3DE" w:rsidR="00A94A10" w:rsidRPr="00636169" w:rsidRDefault="00A94A10" w:rsidP="00BE68EC">
            <w:pPr>
              <w:jc w:val="center"/>
              <w:rPr>
                <w:sz w:val="14"/>
                <w:szCs w:val="14"/>
              </w:rPr>
            </w:pPr>
            <w:r>
              <w:rPr>
                <w:sz w:val="14"/>
                <w:szCs w:val="14"/>
              </w:rPr>
              <w:t>0.2</w:t>
            </w:r>
            <w:r w:rsidR="00564865">
              <w:rPr>
                <w:sz w:val="14"/>
                <w:szCs w:val="14"/>
              </w:rPr>
              <w:t>34</w:t>
            </w:r>
          </w:p>
        </w:tc>
        <w:tc>
          <w:tcPr>
            <w:tcW w:w="1560" w:type="dxa"/>
            <w:tcBorders>
              <w:top w:val="single" w:sz="4" w:space="0" w:color="auto"/>
              <w:left w:val="single" w:sz="4" w:space="0" w:color="auto"/>
            </w:tcBorders>
            <w:vAlign w:val="center"/>
          </w:tcPr>
          <w:p w14:paraId="777EAA03" w14:textId="56E906B1" w:rsidR="00A94A10" w:rsidRPr="00636169" w:rsidRDefault="00A94A10" w:rsidP="00BE68EC">
            <w:pPr>
              <w:jc w:val="center"/>
              <w:rPr>
                <w:sz w:val="14"/>
                <w:szCs w:val="14"/>
              </w:rPr>
            </w:pPr>
            <w:r>
              <w:rPr>
                <w:sz w:val="14"/>
                <w:szCs w:val="14"/>
              </w:rPr>
              <w:t>0.09</w:t>
            </w:r>
            <w:r w:rsidR="00565A01">
              <w:rPr>
                <w:sz w:val="14"/>
                <w:szCs w:val="14"/>
              </w:rPr>
              <w:t>9</w:t>
            </w:r>
          </w:p>
        </w:tc>
        <w:tc>
          <w:tcPr>
            <w:tcW w:w="1557" w:type="dxa"/>
            <w:tcBorders>
              <w:top w:val="single" w:sz="4" w:space="0" w:color="auto"/>
            </w:tcBorders>
            <w:vAlign w:val="center"/>
          </w:tcPr>
          <w:p w14:paraId="514D3A76" w14:textId="6999CDA7" w:rsidR="00A94A10" w:rsidRPr="00636169" w:rsidRDefault="00A94A10" w:rsidP="00BE68EC">
            <w:pPr>
              <w:jc w:val="center"/>
              <w:rPr>
                <w:sz w:val="14"/>
                <w:szCs w:val="14"/>
              </w:rPr>
            </w:pPr>
            <w:r>
              <w:rPr>
                <w:sz w:val="14"/>
                <w:szCs w:val="14"/>
              </w:rPr>
              <w:t>0.15</w:t>
            </w:r>
            <w:r w:rsidR="00987518">
              <w:rPr>
                <w:sz w:val="14"/>
                <w:szCs w:val="14"/>
              </w:rPr>
              <w:t>8</w:t>
            </w:r>
          </w:p>
        </w:tc>
        <w:tc>
          <w:tcPr>
            <w:tcW w:w="239" w:type="dxa"/>
            <w:tcBorders>
              <w:top w:val="single" w:sz="4" w:space="0" w:color="auto"/>
            </w:tcBorders>
          </w:tcPr>
          <w:p w14:paraId="1AC8A6FF" w14:textId="77777777" w:rsidR="00A94A10" w:rsidRPr="00636169" w:rsidRDefault="00A94A10" w:rsidP="00BE68EC">
            <w:pPr>
              <w:jc w:val="center"/>
              <w:rPr>
                <w:sz w:val="14"/>
                <w:szCs w:val="14"/>
              </w:rPr>
            </w:pPr>
          </w:p>
        </w:tc>
      </w:tr>
      <w:tr w:rsidR="00A94A10" w:rsidRPr="00636169" w14:paraId="582FDEF8" w14:textId="77777777" w:rsidTr="00BE68EC">
        <w:trPr>
          <w:gridAfter w:val="1"/>
          <w:wAfter w:w="1560" w:type="dxa"/>
        </w:trPr>
        <w:tc>
          <w:tcPr>
            <w:tcW w:w="1913" w:type="dxa"/>
            <w:vAlign w:val="center"/>
          </w:tcPr>
          <w:p w14:paraId="12B47C0F" w14:textId="77777777" w:rsidR="00A94A10" w:rsidRPr="00AE58C7" w:rsidRDefault="00A94A10" w:rsidP="00BE68EC">
            <w:pPr>
              <w:spacing w:line="360" w:lineRule="auto"/>
              <w:rPr>
                <w:sz w:val="14"/>
                <w:szCs w:val="14"/>
              </w:rPr>
            </w:pPr>
            <w:r w:rsidRPr="00AE58C7">
              <w:rPr>
                <w:sz w:val="14"/>
                <w:szCs w:val="14"/>
              </w:rPr>
              <w:t>Log-likelihood</w:t>
            </w:r>
          </w:p>
        </w:tc>
        <w:tc>
          <w:tcPr>
            <w:tcW w:w="1773" w:type="dxa"/>
            <w:vAlign w:val="center"/>
          </w:tcPr>
          <w:p w14:paraId="31080A64" w14:textId="20CC5AB4" w:rsidR="00A94A10" w:rsidRPr="00AE58C7" w:rsidRDefault="00A94A10" w:rsidP="00BE68EC">
            <w:pPr>
              <w:jc w:val="center"/>
              <w:rPr>
                <w:sz w:val="14"/>
                <w:szCs w:val="14"/>
              </w:rPr>
            </w:pPr>
            <w:r>
              <w:rPr>
                <w:sz w:val="14"/>
                <w:szCs w:val="14"/>
              </w:rPr>
              <w:t>-2</w:t>
            </w:r>
            <w:r w:rsidR="00E82567">
              <w:rPr>
                <w:sz w:val="14"/>
                <w:szCs w:val="14"/>
              </w:rPr>
              <w:t>458.7</w:t>
            </w:r>
          </w:p>
        </w:tc>
        <w:tc>
          <w:tcPr>
            <w:tcW w:w="1984" w:type="dxa"/>
            <w:tcBorders>
              <w:right w:val="single" w:sz="4" w:space="0" w:color="auto"/>
            </w:tcBorders>
            <w:vAlign w:val="center"/>
          </w:tcPr>
          <w:p w14:paraId="1C8367FC" w14:textId="3FBB0059" w:rsidR="00A94A10" w:rsidRPr="00636169" w:rsidRDefault="00A94A10" w:rsidP="00BE68EC">
            <w:pPr>
              <w:jc w:val="center"/>
              <w:rPr>
                <w:sz w:val="14"/>
                <w:szCs w:val="14"/>
              </w:rPr>
            </w:pPr>
            <w:r>
              <w:rPr>
                <w:sz w:val="14"/>
                <w:szCs w:val="14"/>
              </w:rPr>
              <w:t>-</w:t>
            </w:r>
            <w:r w:rsidR="00564865">
              <w:rPr>
                <w:sz w:val="14"/>
                <w:szCs w:val="14"/>
              </w:rPr>
              <w:t>2179</w:t>
            </w:r>
            <w:r w:rsidR="004E65A5">
              <w:rPr>
                <w:sz w:val="14"/>
                <w:szCs w:val="14"/>
              </w:rPr>
              <w:t>.9</w:t>
            </w:r>
          </w:p>
        </w:tc>
        <w:tc>
          <w:tcPr>
            <w:tcW w:w="1560" w:type="dxa"/>
            <w:tcBorders>
              <w:left w:val="single" w:sz="4" w:space="0" w:color="auto"/>
            </w:tcBorders>
            <w:vAlign w:val="center"/>
          </w:tcPr>
          <w:p w14:paraId="7838F739" w14:textId="540F2BA3" w:rsidR="00A94A10" w:rsidRPr="00636169" w:rsidRDefault="00A94A10" w:rsidP="00BE68EC">
            <w:pPr>
              <w:jc w:val="center"/>
              <w:rPr>
                <w:sz w:val="14"/>
                <w:szCs w:val="14"/>
              </w:rPr>
            </w:pPr>
            <w:r>
              <w:rPr>
                <w:sz w:val="14"/>
                <w:szCs w:val="14"/>
              </w:rPr>
              <w:t>-</w:t>
            </w:r>
            <w:r w:rsidR="00565A01">
              <w:rPr>
                <w:sz w:val="14"/>
                <w:szCs w:val="14"/>
              </w:rPr>
              <w:t>6003.4</w:t>
            </w:r>
          </w:p>
        </w:tc>
        <w:tc>
          <w:tcPr>
            <w:tcW w:w="1557" w:type="dxa"/>
            <w:vAlign w:val="center"/>
          </w:tcPr>
          <w:p w14:paraId="3C714D41" w14:textId="26DDAD95" w:rsidR="00A94A10" w:rsidRPr="00636169" w:rsidRDefault="00A94A10" w:rsidP="00BE68EC">
            <w:pPr>
              <w:jc w:val="center"/>
              <w:rPr>
                <w:sz w:val="14"/>
                <w:szCs w:val="14"/>
              </w:rPr>
            </w:pPr>
            <w:r>
              <w:rPr>
                <w:sz w:val="14"/>
                <w:szCs w:val="14"/>
              </w:rPr>
              <w:t>-5</w:t>
            </w:r>
            <w:r w:rsidR="00987518">
              <w:rPr>
                <w:sz w:val="14"/>
                <w:szCs w:val="14"/>
              </w:rPr>
              <w:t>607.1</w:t>
            </w:r>
          </w:p>
        </w:tc>
        <w:tc>
          <w:tcPr>
            <w:tcW w:w="239" w:type="dxa"/>
          </w:tcPr>
          <w:p w14:paraId="61AD80B7" w14:textId="77777777" w:rsidR="00A94A10" w:rsidRPr="00636169" w:rsidRDefault="00A94A10" w:rsidP="00BE68EC">
            <w:pPr>
              <w:jc w:val="center"/>
              <w:rPr>
                <w:sz w:val="14"/>
                <w:szCs w:val="14"/>
              </w:rPr>
            </w:pPr>
          </w:p>
        </w:tc>
      </w:tr>
      <w:tr w:rsidR="00A94A10" w:rsidRPr="00636169" w14:paraId="16340979" w14:textId="77777777" w:rsidTr="00BE68EC">
        <w:trPr>
          <w:gridAfter w:val="1"/>
          <w:wAfter w:w="1560" w:type="dxa"/>
        </w:trPr>
        <w:tc>
          <w:tcPr>
            <w:tcW w:w="1913" w:type="dxa"/>
            <w:tcBorders>
              <w:bottom w:val="single" w:sz="4" w:space="0" w:color="auto"/>
            </w:tcBorders>
            <w:vAlign w:val="center"/>
          </w:tcPr>
          <w:p w14:paraId="3F89BEEA" w14:textId="77777777" w:rsidR="00A94A10" w:rsidRPr="00AE58C7" w:rsidRDefault="00A94A10" w:rsidP="00BE68EC">
            <w:pPr>
              <w:spacing w:line="360" w:lineRule="auto"/>
              <w:rPr>
                <w:sz w:val="14"/>
                <w:szCs w:val="14"/>
              </w:rPr>
            </w:pPr>
            <w:r w:rsidRPr="00AE58C7">
              <w:rPr>
                <w:sz w:val="14"/>
                <w:szCs w:val="14"/>
              </w:rPr>
              <w:t>N</w:t>
            </w:r>
          </w:p>
        </w:tc>
        <w:tc>
          <w:tcPr>
            <w:tcW w:w="1773" w:type="dxa"/>
            <w:tcBorders>
              <w:bottom w:val="single" w:sz="4" w:space="0" w:color="auto"/>
            </w:tcBorders>
            <w:vAlign w:val="center"/>
          </w:tcPr>
          <w:p w14:paraId="226DE349" w14:textId="77777777" w:rsidR="00A94A10" w:rsidRPr="00AE58C7" w:rsidRDefault="00A94A10" w:rsidP="00BE68EC">
            <w:pPr>
              <w:jc w:val="center"/>
              <w:rPr>
                <w:sz w:val="14"/>
                <w:szCs w:val="14"/>
              </w:rPr>
            </w:pPr>
            <w:r>
              <w:rPr>
                <w:sz w:val="14"/>
                <w:szCs w:val="14"/>
              </w:rPr>
              <w:t>14,620</w:t>
            </w:r>
          </w:p>
        </w:tc>
        <w:tc>
          <w:tcPr>
            <w:tcW w:w="1984" w:type="dxa"/>
            <w:tcBorders>
              <w:bottom w:val="single" w:sz="4" w:space="0" w:color="auto"/>
              <w:right w:val="single" w:sz="4" w:space="0" w:color="auto"/>
            </w:tcBorders>
            <w:vAlign w:val="center"/>
          </w:tcPr>
          <w:p w14:paraId="6CB53DE9" w14:textId="77777777" w:rsidR="00A94A10" w:rsidRPr="00636169" w:rsidRDefault="00A94A10" w:rsidP="00BE68EC">
            <w:pPr>
              <w:jc w:val="center"/>
              <w:rPr>
                <w:sz w:val="14"/>
                <w:szCs w:val="14"/>
              </w:rPr>
            </w:pPr>
            <w:r>
              <w:rPr>
                <w:sz w:val="14"/>
                <w:szCs w:val="14"/>
              </w:rPr>
              <w:t>14,620</w:t>
            </w:r>
          </w:p>
        </w:tc>
        <w:tc>
          <w:tcPr>
            <w:tcW w:w="1560" w:type="dxa"/>
            <w:tcBorders>
              <w:left w:val="single" w:sz="4" w:space="0" w:color="auto"/>
              <w:bottom w:val="single" w:sz="4" w:space="0" w:color="auto"/>
            </w:tcBorders>
            <w:vAlign w:val="center"/>
          </w:tcPr>
          <w:p w14:paraId="0014FE0C" w14:textId="77777777" w:rsidR="00A94A10" w:rsidRPr="00636169" w:rsidRDefault="00A94A10" w:rsidP="00BE68EC">
            <w:pPr>
              <w:jc w:val="center"/>
              <w:rPr>
                <w:sz w:val="14"/>
                <w:szCs w:val="14"/>
              </w:rPr>
            </w:pPr>
            <w:r>
              <w:rPr>
                <w:sz w:val="14"/>
                <w:szCs w:val="14"/>
              </w:rPr>
              <w:t>14,620</w:t>
            </w:r>
          </w:p>
        </w:tc>
        <w:tc>
          <w:tcPr>
            <w:tcW w:w="1557" w:type="dxa"/>
            <w:tcBorders>
              <w:bottom w:val="single" w:sz="4" w:space="0" w:color="auto"/>
            </w:tcBorders>
            <w:vAlign w:val="center"/>
          </w:tcPr>
          <w:p w14:paraId="4062C323" w14:textId="77777777" w:rsidR="00A94A10" w:rsidRPr="00636169" w:rsidRDefault="00A94A10" w:rsidP="00BE68EC">
            <w:pPr>
              <w:jc w:val="center"/>
              <w:rPr>
                <w:sz w:val="14"/>
                <w:szCs w:val="14"/>
              </w:rPr>
            </w:pPr>
            <w:r>
              <w:rPr>
                <w:sz w:val="14"/>
                <w:szCs w:val="14"/>
              </w:rPr>
              <w:t>14,620</w:t>
            </w:r>
          </w:p>
        </w:tc>
        <w:tc>
          <w:tcPr>
            <w:tcW w:w="239" w:type="dxa"/>
            <w:tcBorders>
              <w:bottom w:val="single" w:sz="4" w:space="0" w:color="auto"/>
            </w:tcBorders>
          </w:tcPr>
          <w:p w14:paraId="27E4F913" w14:textId="77777777" w:rsidR="00A94A10" w:rsidRPr="00636169" w:rsidRDefault="00A94A10" w:rsidP="00BE68EC">
            <w:pPr>
              <w:jc w:val="center"/>
              <w:rPr>
                <w:sz w:val="14"/>
                <w:szCs w:val="14"/>
              </w:rPr>
            </w:pPr>
          </w:p>
        </w:tc>
      </w:tr>
      <w:tr w:rsidR="00A94A10" w:rsidRPr="00915CC9" w14:paraId="7969E064" w14:textId="77777777" w:rsidTr="00BE68EC">
        <w:trPr>
          <w:gridAfter w:val="1"/>
          <w:wAfter w:w="1560" w:type="dxa"/>
        </w:trPr>
        <w:tc>
          <w:tcPr>
            <w:tcW w:w="9026" w:type="dxa"/>
            <w:gridSpan w:val="6"/>
            <w:tcBorders>
              <w:top w:val="single" w:sz="4" w:space="0" w:color="auto"/>
              <w:bottom w:val="single" w:sz="4" w:space="0" w:color="auto"/>
            </w:tcBorders>
          </w:tcPr>
          <w:p w14:paraId="655C29F1" w14:textId="77777777" w:rsidR="00A94A10" w:rsidRPr="00AE58C7" w:rsidRDefault="00A94A10" w:rsidP="00BE68EC">
            <w:pPr>
              <w:rPr>
                <w:sz w:val="14"/>
                <w:szCs w:val="14"/>
              </w:rPr>
            </w:pPr>
            <w:r w:rsidRPr="00AE58C7">
              <w:rPr>
                <w:sz w:val="14"/>
                <w:szCs w:val="14"/>
              </w:rPr>
              <w:t>Notes: Statistical significance denoted by p-values: +p&lt;0.1, *p&lt;0.05, **p&lt;0.01, ***p&lt;0.001.</w:t>
            </w:r>
          </w:p>
          <w:p w14:paraId="4C55F585" w14:textId="77777777" w:rsidR="00A94A10" w:rsidRDefault="00A94A10" w:rsidP="00BE68EC">
            <w:pPr>
              <w:rPr>
                <w:sz w:val="14"/>
                <w:szCs w:val="14"/>
              </w:rPr>
            </w:pPr>
            <w:r>
              <w:rPr>
                <w:sz w:val="14"/>
                <w:szCs w:val="14"/>
              </w:rPr>
              <w:t xml:space="preserve">Estimates are presented as average marginal effects. </w:t>
            </w:r>
            <w:r w:rsidRPr="00AE58C7">
              <w:rPr>
                <w:sz w:val="14"/>
                <w:szCs w:val="14"/>
              </w:rPr>
              <w:t>Robust standard errors in parentheses.</w:t>
            </w:r>
          </w:p>
          <w:p w14:paraId="1BC1EB3A" w14:textId="45F5A793" w:rsidR="00362F55" w:rsidRPr="00AE58C7" w:rsidRDefault="00362F55" w:rsidP="00BE68EC">
            <w:pPr>
              <w:rPr>
                <w:sz w:val="14"/>
                <w:szCs w:val="14"/>
              </w:rPr>
            </w:pPr>
            <w:r>
              <w:rPr>
                <w:sz w:val="14"/>
                <w:szCs w:val="14"/>
              </w:rPr>
              <w:t xml:space="preserve">Estimation results on loneliness for the sample of the individual years of 2021 and 2023 are presented in the Appendix, Tables A-2 and </w:t>
            </w:r>
            <w:r w:rsidR="007C2207">
              <w:rPr>
                <w:sz w:val="14"/>
                <w:szCs w:val="14"/>
              </w:rPr>
              <w:t>A-4.</w:t>
            </w:r>
          </w:p>
        </w:tc>
      </w:tr>
    </w:tbl>
    <w:p w14:paraId="5E7D27D3" w14:textId="6DD251BD" w:rsidR="00E84543" w:rsidRDefault="00E84543">
      <w:pPr>
        <w:rPr>
          <w:b/>
          <w:bCs/>
        </w:rPr>
      </w:pPr>
    </w:p>
    <w:p w14:paraId="568F958F" w14:textId="77777777" w:rsidR="00A94A10" w:rsidRDefault="00A94A10">
      <w:pPr>
        <w:rPr>
          <w:sz w:val="24"/>
          <w:szCs w:val="24"/>
        </w:rPr>
      </w:pPr>
      <w:r>
        <w:rPr>
          <w:sz w:val="24"/>
          <w:szCs w:val="24"/>
        </w:rPr>
        <w:br w:type="page"/>
      </w:r>
    </w:p>
    <w:p w14:paraId="6D8BF078" w14:textId="67B64F25" w:rsidR="00555EBF" w:rsidRDefault="00204067" w:rsidP="00E50203">
      <w:pPr>
        <w:spacing w:line="360" w:lineRule="auto"/>
        <w:rPr>
          <w:sz w:val="24"/>
          <w:szCs w:val="24"/>
        </w:rPr>
      </w:pPr>
      <w:r w:rsidRPr="00AD597A">
        <w:rPr>
          <w:sz w:val="24"/>
          <w:szCs w:val="24"/>
        </w:rPr>
        <w:t>Table 3 presents the associations between loneliness, mental health, and quality of life. Individuals who frequently felt lonely had a 3</w:t>
      </w:r>
      <w:r w:rsidR="005165CF">
        <w:rPr>
          <w:sz w:val="24"/>
          <w:szCs w:val="24"/>
        </w:rPr>
        <w:t>5.6</w:t>
      </w:r>
      <w:r w:rsidR="005348BA">
        <w:rPr>
          <w:sz w:val="24"/>
          <w:szCs w:val="24"/>
        </w:rPr>
        <w:t xml:space="preserve"> percentage point </w:t>
      </w:r>
      <w:r w:rsidRPr="00AD597A">
        <w:rPr>
          <w:sz w:val="24"/>
          <w:szCs w:val="24"/>
        </w:rPr>
        <w:t>higher probability of experiencing probable mental health problems compared to those who were less frequently</w:t>
      </w:r>
      <w:r w:rsidR="00832D48">
        <w:rPr>
          <w:sz w:val="24"/>
          <w:szCs w:val="24"/>
        </w:rPr>
        <w:t xml:space="preserve"> or never</w:t>
      </w:r>
      <w:r w:rsidRPr="00AD597A">
        <w:rPr>
          <w:sz w:val="24"/>
          <w:szCs w:val="24"/>
        </w:rPr>
        <w:t xml:space="preserve"> lonely. Being female, </w:t>
      </w:r>
      <w:r w:rsidR="00A01250">
        <w:rPr>
          <w:sz w:val="24"/>
          <w:szCs w:val="24"/>
        </w:rPr>
        <w:t xml:space="preserve">younger, </w:t>
      </w:r>
      <w:r w:rsidRPr="00AD597A">
        <w:rPr>
          <w:sz w:val="24"/>
          <w:szCs w:val="24"/>
        </w:rPr>
        <w:t xml:space="preserve">having a disability, being unemployed, engaging in home duties, and having few social supports were positively associated with probable mental health problems. Conversely, being married, </w:t>
      </w:r>
      <w:r w:rsidR="0018162A">
        <w:rPr>
          <w:sz w:val="24"/>
          <w:szCs w:val="24"/>
        </w:rPr>
        <w:t xml:space="preserve">having </w:t>
      </w:r>
      <w:r w:rsidR="00DE4469">
        <w:rPr>
          <w:sz w:val="24"/>
          <w:szCs w:val="24"/>
        </w:rPr>
        <w:t xml:space="preserve">good health, </w:t>
      </w:r>
      <w:r w:rsidR="0018162A">
        <w:rPr>
          <w:sz w:val="24"/>
          <w:szCs w:val="24"/>
        </w:rPr>
        <w:t>achieving</w:t>
      </w:r>
      <w:r w:rsidRPr="00AD597A">
        <w:rPr>
          <w:sz w:val="24"/>
          <w:szCs w:val="24"/>
        </w:rPr>
        <w:t xml:space="preserve"> a degree,</w:t>
      </w:r>
      <w:r w:rsidR="003556EA">
        <w:rPr>
          <w:sz w:val="24"/>
          <w:szCs w:val="24"/>
        </w:rPr>
        <w:t xml:space="preserve"> living outside of the area of the capital city of Dublin, </w:t>
      </w:r>
      <w:r w:rsidRPr="00AD597A">
        <w:rPr>
          <w:sz w:val="24"/>
          <w:szCs w:val="24"/>
        </w:rPr>
        <w:t>and participating in social groups were negatively associated. The association between loneliness and probable mental health problems was smaller (</w:t>
      </w:r>
      <w:r w:rsidR="00A86602">
        <w:rPr>
          <w:sz w:val="24"/>
          <w:szCs w:val="24"/>
        </w:rPr>
        <w:t xml:space="preserve">a </w:t>
      </w:r>
      <w:r w:rsidRPr="00AD597A">
        <w:rPr>
          <w:sz w:val="24"/>
          <w:szCs w:val="24"/>
        </w:rPr>
        <w:t>21.2</w:t>
      </w:r>
      <w:r w:rsidR="005348BA">
        <w:rPr>
          <w:sz w:val="24"/>
          <w:szCs w:val="24"/>
        </w:rPr>
        <w:t xml:space="preserve"> percentage point</w:t>
      </w:r>
      <w:r w:rsidR="00A86602">
        <w:rPr>
          <w:sz w:val="24"/>
          <w:szCs w:val="24"/>
        </w:rPr>
        <w:t xml:space="preserve"> increase</w:t>
      </w:r>
      <w:r w:rsidRPr="00AD597A">
        <w:rPr>
          <w:sz w:val="24"/>
          <w:szCs w:val="24"/>
        </w:rPr>
        <w:t>) when a broader definition of loneliness (</w:t>
      </w:r>
      <w:r w:rsidR="00A86602">
        <w:rPr>
          <w:sz w:val="24"/>
          <w:szCs w:val="24"/>
        </w:rPr>
        <w:t xml:space="preserve">at least experiencing this </w:t>
      </w:r>
      <w:r w:rsidRPr="00AD597A">
        <w:rPr>
          <w:sz w:val="24"/>
          <w:szCs w:val="24"/>
        </w:rPr>
        <w:t xml:space="preserve">sometimes) was </w:t>
      </w:r>
      <w:r w:rsidR="00581B2F">
        <w:rPr>
          <w:sz w:val="24"/>
          <w:szCs w:val="24"/>
        </w:rPr>
        <w:t>examined</w:t>
      </w:r>
      <w:r w:rsidR="00A86602">
        <w:rPr>
          <w:sz w:val="24"/>
          <w:szCs w:val="24"/>
        </w:rPr>
        <w:t>.</w:t>
      </w:r>
    </w:p>
    <w:p w14:paraId="772C3C5E" w14:textId="07938F5E" w:rsidR="00555EBF" w:rsidRDefault="00204067" w:rsidP="00204067">
      <w:pPr>
        <w:spacing w:line="360" w:lineRule="auto"/>
        <w:rPr>
          <w:sz w:val="24"/>
          <w:szCs w:val="24"/>
        </w:rPr>
      </w:pPr>
      <w:r w:rsidRPr="00AD597A">
        <w:rPr>
          <w:sz w:val="24"/>
          <w:szCs w:val="24"/>
        </w:rPr>
        <w:t xml:space="preserve">Loneliness was negatively associated with reported quality of life. Frequently feeling lonely was associated with a </w:t>
      </w:r>
      <w:r w:rsidR="00581B2F">
        <w:rPr>
          <w:sz w:val="24"/>
          <w:szCs w:val="24"/>
        </w:rPr>
        <w:t>22.4</w:t>
      </w:r>
      <w:r w:rsidR="005348BA">
        <w:rPr>
          <w:sz w:val="24"/>
          <w:szCs w:val="24"/>
        </w:rPr>
        <w:t xml:space="preserve"> percentage point</w:t>
      </w:r>
      <w:r w:rsidRPr="00AD597A">
        <w:rPr>
          <w:sz w:val="24"/>
          <w:szCs w:val="24"/>
        </w:rPr>
        <w:t xml:space="preserve"> lower probability of reporting good quality of life, while experiencing loneliness </w:t>
      </w:r>
      <w:r w:rsidR="00A86602">
        <w:rPr>
          <w:sz w:val="24"/>
          <w:szCs w:val="24"/>
        </w:rPr>
        <w:t xml:space="preserve">at least some of the time </w:t>
      </w:r>
      <w:r w:rsidRPr="00AD597A">
        <w:rPr>
          <w:sz w:val="24"/>
          <w:szCs w:val="24"/>
        </w:rPr>
        <w:t>was associated with a 1</w:t>
      </w:r>
      <w:r w:rsidR="00581B2F">
        <w:rPr>
          <w:sz w:val="24"/>
          <w:szCs w:val="24"/>
        </w:rPr>
        <w:t>7.5</w:t>
      </w:r>
      <w:r w:rsidRPr="00AD597A">
        <w:rPr>
          <w:sz w:val="24"/>
          <w:szCs w:val="24"/>
        </w:rPr>
        <w:t>%</w:t>
      </w:r>
      <w:r w:rsidR="005348BA">
        <w:rPr>
          <w:sz w:val="24"/>
          <w:szCs w:val="24"/>
        </w:rPr>
        <w:t xml:space="preserve"> percentage point</w:t>
      </w:r>
      <w:r w:rsidRPr="00AD597A">
        <w:rPr>
          <w:sz w:val="24"/>
          <w:szCs w:val="24"/>
        </w:rPr>
        <w:t xml:space="preserve"> lower probability. Many of the associations between quality of life and the control variables</w:t>
      </w:r>
      <w:r w:rsidR="006A01DA" w:rsidRPr="00AD597A">
        <w:rPr>
          <w:sz w:val="24"/>
          <w:szCs w:val="24"/>
        </w:rPr>
        <w:t xml:space="preserve"> </w:t>
      </w:r>
      <w:r w:rsidRPr="00AD597A">
        <w:rPr>
          <w:sz w:val="24"/>
          <w:szCs w:val="24"/>
        </w:rPr>
        <w:t>mirrored those observed for probable mental health problems, but in the opposite direction.</w:t>
      </w:r>
    </w:p>
    <w:p w14:paraId="6D43F5F8" w14:textId="77777777" w:rsidR="00204067" w:rsidRPr="00AD597A" w:rsidRDefault="00204067" w:rsidP="00204067">
      <w:pPr>
        <w:spacing w:line="360" w:lineRule="auto"/>
        <w:rPr>
          <w:sz w:val="24"/>
          <w:szCs w:val="24"/>
        </w:rPr>
      </w:pPr>
    </w:p>
    <w:p w14:paraId="68609A47" w14:textId="21E9353B" w:rsidR="00A94A10" w:rsidRPr="00EE2995" w:rsidRDefault="006A01DA" w:rsidP="00A94A10">
      <w:pPr>
        <w:spacing w:line="360" w:lineRule="auto"/>
        <w:rPr>
          <w:b/>
          <w:bCs/>
        </w:rPr>
      </w:pPr>
      <w:r w:rsidRPr="00AD597A">
        <w:rPr>
          <w:b/>
          <w:bCs/>
          <w:sz w:val="24"/>
          <w:szCs w:val="24"/>
        </w:rPr>
        <w:br w:type="page"/>
      </w:r>
      <w:r w:rsidR="00A94A10" w:rsidRPr="00EE2995">
        <w:rPr>
          <w:b/>
          <w:bCs/>
        </w:rPr>
        <w:t>Table 3: Estimation results on mental health</w:t>
      </w:r>
      <w:r w:rsidR="00A94A10">
        <w:rPr>
          <w:b/>
          <w:bCs/>
        </w:rPr>
        <w:t>, 2021 &amp;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1571"/>
        <w:gridCol w:w="651"/>
        <w:gridCol w:w="921"/>
        <w:gridCol w:w="1571"/>
        <w:gridCol w:w="1572"/>
      </w:tblGrid>
      <w:tr w:rsidR="00A94A10" w:rsidRPr="00AE58C7" w14:paraId="5F2423F0" w14:textId="77777777" w:rsidTr="00BE68EC">
        <w:tc>
          <w:tcPr>
            <w:tcW w:w="2740" w:type="dxa"/>
            <w:tcBorders>
              <w:top w:val="single" w:sz="4" w:space="0" w:color="auto"/>
              <w:bottom w:val="single" w:sz="4" w:space="0" w:color="auto"/>
            </w:tcBorders>
          </w:tcPr>
          <w:p w14:paraId="5D0B7F37" w14:textId="77777777" w:rsidR="00A94A10" w:rsidRPr="00AE58C7" w:rsidRDefault="00A94A10" w:rsidP="00BE68EC">
            <w:pPr>
              <w:rPr>
                <w:b/>
                <w:bCs/>
                <w:sz w:val="16"/>
                <w:szCs w:val="16"/>
              </w:rPr>
            </w:pPr>
          </w:p>
        </w:tc>
        <w:tc>
          <w:tcPr>
            <w:tcW w:w="3143" w:type="dxa"/>
            <w:gridSpan w:val="3"/>
            <w:tcBorders>
              <w:top w:val="single" w:sz="4" w:space="0" w:color="auto"/>
              <w:bottom w:val="single" w:sz="4" w:space="0" w:color="auto"/>
              <w:right w:val="single" w:sz="4" w:space="0" w:color="auto"/>
            </w:tcBorders>
            <w:vAlign w:val="center"/>
          </w:tcPr>
          <w:p w14:paraId="1D1C50A0" w14:textId="77777777" w:rsidR="00A94A10" w:rsidRPr="007B3354" w:rsidRDefault="00A94A10" w:rsidP="00BE68EC">
            <w:pPr>
              <w:jc w:val="center"/>
              <w:rPr>
                <w:sz w:val="16"/>
                <w:szCs w:val="16"/>
              </w:rPr>
            </w:pPr>
            <w:r w:rsidRPr="007B3354">
              <w:rPr>
                <w:sz w:val="20"/>
                <w:szCs w:val="20"/>
              </w:rPr>
              <w:t>Probable mental health problem</w:t>
            </w:r>
          </w:p>
        </w:tc>
        <w:tc>
          <w:tcPr>
            <w:tcW w:w="3143" w:type="dxa"/>
            <w:gridSpan w:val="2"/>
            <w:tcBorders>
              <w:top w:val="single" w:sz="4" w:space="0" w:color="auto"/>
              <w:left w:val="single" w:sz="4" w:space="0" w:color="auto"/>
              <w:bottom w:val="single" w:sz="4" w:space="0" w:color="auto"/>
            </w:tcBorders>
          </w:tcPr>
          <w:p w14:paraId="624DD653" w14:textId="77777777" w:rsidR="00A94A10" w:rsidRPr="007B3354" w:rsidRDefault="00A94A10" w:rsidP="00BE68EC">
            <w:pPr>
              <w:jc w:val="center"/>
              <w:rPr>
                <w:sz w:val="16"/>
                <w:szCs w:val="16"/>
              </w:rPr>
            </w:pPr>
            <w:r w:rsidRPr="000F59E1">
              <w:rPr>
                <w:sz w:val="20"/>
                <w:szCs w:val="20"/>
              </w:rPr>
              <w:t>Good quality of life</w:t>
            </w:r>
          </w:p>
        </w:tc>
      </w:tr>
      <w:tr w:rsidR="00A94A10" w:rsidRPr="00AE58C7" w14:paraId="210829AA" w14:textId="77777777" w:rsidTr="00BE68EC">
        <w:tc>
          <w:tcPr>
            <w:tcW w:w="2740" w:type="dxa"/>
            <w:tcBorders>
              <w:top w:val="single" w:sz="4" w:space="0" w:color="auto"/>
              <w:bottom w:val="single" w:sz="4" w:space="0" w:color="auto"/>
            </w:tcBorders>
          </w:tcPr>
          <w:p w14:paraId="08839CB6" w14:textId="77777777" w:rsidR="00A94A10" w:rsidRPr="00AE58C7" w:rsidRDefault="00A94A10" w:rsidP="00BE68EC">
            <w:pPr>
              <w:rPr>
                <w:b/>
                <w:bCs/>
                <w:sz w:val="16"/>
                <w:szCs w:val="16"/>
              </w:rPr>
            </w:pPr>
          </w:p>
        </w:tc>
        <w:tc>
          <w:tcPr>
            <w:tcW w:w="1571" w:type="dxa"/>
            <w:tcBorders>
              <w:top w:val="single" w:sz="4" w:space="0" w:color="auto"/>
              <w:bottom w:val="single" w:sz="4" w:space="0" w:color="auto"/>
            </w:tcBorders>
            <w:vAlign w:val="center"/>
          </w:tcPr>
          <w:p w14:paraId="3C1FA285" w14:textId="77777777" w:rsidR="00A94A10" w:rsidRPr="009F085E" w:rsidRDefault="00A94A10" w:rsidP="00BE68EC">
            <w:pPr>
              <w:jc w:val="center"/>
              <w:rPr>
                <w:sz w:val="16"/>
                <w:szCs w:val="16"/>
              </w:rPr>
            </w:pPr>
            <w:r w:rsidRPr="009F085E">
              <w:rPr>
                <w:sz w:val="16"/>
                <w:szCs w:val="16"/>
              </w:rPr>
              <w:t>(1)</w:t>
            </w:r>
          </w:p>
        </w:tc>
        <w:tc>
          <w:tcPr>
            <w:tcW w:w="1572" w:type="dxa"/>
            <w:gridSpan w:val="2"/>
            <w:tcBorders>
              <w:top w:val="single" w:sz="4" w:space="0" w:color="auto"/>
              <w:bottom w:val="single" w:sz="4" w:space="0" w:color="auto"/>
              <w:right w:val="single" w:sz="4" w:space="0" w:color="auto"/>
            </w:tcBorders>
            <w:vAlign w:val="center"/>
          </w:tcPr>
          <w:p w14:paraId="24AAAF32" w14:textId="77777777" w:rsidR="00A94A10" w:rsidRPr="009F085E" w:rsidRDefault="00A94A10" w:rsidP="00BE68EC">
            <w:pPr>
              <w:jc w:val="center"/>
              <w:rPr>
                <w:sz w:val="16"/>
                <w:szCs w:val="16"/>
              </w:rPr>
            </w:pPr>
            <w:r w:rsidRPr="009F085E">
              <w:rPr>
                <w:sz w:val="16"/>
                <w:szCs w:val="16"/>
              </w:rPr>
              <w:t>(2)</w:t>
            </w:r>
          </w:p>
        </w:tc>
        <w:tc>
          <w:tcPr>
            <w:tcW w:w="1571" w:type="dxa"/>
            <w:tcBorders>
              <w:top w:val="single" w:sz="4" w:space="0" w:color="auto"/>
              <w:left w:val="single" w:sz="4" w:space="0" w:color="auto"/>
              <w:bottom w:val="single" w:sz="4" w:space="0" w:color="auto"/>
            </w:tcBorders>
            <w:vAlign w:val="center"/>
          </w:tcPr>
          <w:p w14:paraId="430FD3B3" w14:textId="77777777" w:rsidR="00A94A10" w:rsidRPr="007B3354" w:rsidRDefault="00A94A10" w:rsidP="00BE68EC">
            <w:pPr>
              <w:jc w:val="center"/>
              <w:rPr>
                <w:sz w:val="16"/>
                <w:szCs w:val="16"/>
              </w:rPr>
            </w:pPr>
            <w:r w:rsidRPr="007B3354">
              <w:rPr>
                <w:sz w:val="16"/>
                <w:szCs w:val="16"/>
              </w:rPr>
              <w:t>(1)</w:t>
            </w:r>
          </w:p>
        </w:tc>
        <w:tc>
          <w:tcPr>
            <w:tcW w:w="1572" w:type="dxa"/>
            <w:tcBorders>
              <w:top w:val="single" w:sz="4" w:space="0" w:color="auto"/>
              <w:bottom w:val="single" w:sz="4" w:space="0" w:color="auto"/>
            </w:tcBorders>
            <w:vAlign w:val="center"/>
          </w:tcPr>
          <w:p w14:paraId="51395F41" w14:textId="77777777" w:rsidR="00A94A10" w:rsidRPr="007B3354" w:rsidRDefault="00A94A10" w:rsidP="00BE68EC">
            <w:pPr>
              <w:jc w:val="center"/>
              <w:rPr>
                <w:sz w:val="16"/>
                <w:szCs w:val="16"/>
              </w:rPr>
            </w:pPr>
            <w:r w:rsidRPr="007B3354">
              <w:rPr>
                <w:sz w:val="16"/>
                <w:szCs w:val="16"/>
              </w:rPr>
              <w:t>(2)</w:t>
            </w:r>
          </w:p>
        </w:tc>
      </w:tr>
      <w:tr w:rsidR="00A94A10" w:rsidRPr="00AE58C7" w14:paraId="1A738057" w14:textId="77777777" w:rsidTr="00B9601D">
        <w:tc>
          <w:tcPr>
            <w:tcW w:w="2740" w:type="dxa"/>
            <w:tcBorders>
              <w:top w:val="single" w:sz="4" w:space="0" w:color="auto"/>
              <w:bottom w:val="nil"/>
            </w:tcBorders>
            <w:vAlign w:val="center"/>
          </w:tcPr>
          <w:p w14:paraId="51332B8F" w14:textId="77777777" w:rsidR="00A94A10" w:rsidRPr="00AE58C7" w:rsidRDefault="00A94A10" w:rsidP="00BE68EC">
            <w:pPr>
              <w:rPr>
                <w:sz w:val="16"/>
                <w:szCs w:val="16"/>
              </w:rPr>
            </w:pPr>
            <w:r w:rsidRPr="00AE58C7">
              <w:rPr>
                <w:sz w:val="16"/>
                <w:szCs w:val="16"/>
              </w:rPr>
              <w:t>Often/always lonely</w:t>
            </w:r>
          </w:p>
        </w:tc>
        <w:tc>
          <w:tcPr>
            <w:tcW w:w="1571" w:type="dxa"/>
            <w:tcBorders>
              <w:top w:val="single" w:sz="4" w:space="0" w:color="auto"/>
              <w:bottom w:val="nil"/>
            </w:tcBorders>
            <w:shd w:val="clear" w:color="auto" w:fill="BF4E14" w:themeFill="accent2" w:themeFillShade="BF"/>
            <w:vAlign w:val="center"/>
          </w:tcPr>
          <w:p w14:paraId="331AEDC2" w14:textId="0A8CECC0" w:rsidR="00A94A10" w:rsidRDefault="00A94A10" w:rsidP="00BE68EC">
            <w:pPr>
              <w:jc w:val="center"/>
              <w:rPr>
                <w:sz w:val="16"/>
                <w:szCs w:val="16"/>
              </w:rPr>
            </w:pPr>
            <w:r>
              <w:rPr>
                <w:sz w:val="16"/>
                <w:szCs w:val="16"/>
              </w:rPr>
              <w:t>0.3</w:t>
            </w:r>
            <w:r w:rsidR="00E71D57">
              <w:rPr>
                <w:sz w:val="16"/>
                <w:szCs w:val="16"/>
              </w:rPr>
              <w:t>56</w:t>
            </w:r>
            <w:r>
              <w:rPr>
                <w:sz w:val="16"/>
                <w:szCs w:val="16"/>
              </w:rPr>
              <w:t>***</w:t>
            </w:r>
          </w:p>
          <w:p w14:paraId="2B1FF907" w14:textId="05AD9E63" w:rsidR="00A94A10" w:rsidRPr="00AE58C7" w:rsidRDefault="00A94A10" w:rsidP="00BE68EC">
            <w:pPr>
              <w:jc w:val="center"/>
              <w:rPr>
                <w:sz w:val="16"/>
                <w:szCs w:val="16"/>
              </w:rPr>
            </w:pPr>
            <w:r>
              <w:rPr>
                <w:sz w:val="16"/>
                <w:szCs w:val="16"/>
              </w:rPr>
              <w:t>(0.02</w:t>
            </w:r>
            <w:r w:rsidR="00E71D57">
              <w:rPr>
                <w:sz w:val="16"/>
                <w:szCs w:val="16"/>
              </w:rPr>
              <w:t>6</w:t>
            </w:r>
            <w:r>
              <w:rPr>
                <w:sz w:val="16"/>
                <w:szCs w:val="16"/>
              </w:rPr>
              <w:t>)</w:t>
            </w:r>
          </w:p>
        </w:tc>
        <w:tc>
          <w:tcPr>
            <w:tcW w:w="1572" w:type="dxa"/>
            <w:gridSpan w:val="2"/>
            <w:tcBorders>
              <w:top w:val="single" w:sz="4" w:space="0" w:color="auto"/>
              <w:bottom w:val="nil"/>
              <w:right w:val="single" w:sz="4" w:space="0" w:color="auto"/>
            </w:tcBorders>
            <w:vAlign w:val="center"/>
          </w:tcPr>
          <w:p w14:paraId="04A15B50" w14:textId="77777777" w:rsidR="00A94A10" w:rsidRPr="00AE58C7" w:rsidRDefault="00A94A10" w:rsidP="00BE68EC">
            <w:pPr>
              <w:jc w:val="center"/>
              <w:rPr>
                <w:sz w:val="16"/>
                <w:szCs w:val="16"/>
              </w:rPr>
            </w:pPr>
            <w:r w:rsidRPr="00AE58C7">
              <w:rPr>
                <w:sz w:val="16"/>
                <w:szCs w:val="16"/>
              </w:rPr>
              <w:t>/</w:t>
            </w:r>
          </w:p>
        </w:tc>
        <w:tc>
          <w:tcPr>
            <w:tcW w:w="1571" w:type="dxa"/>
            <w:tcBorders>
              <w:top w:val="single" w:sz="4" w:space="0" w:color="auto"/>
              <w:left w:val="single" w:sz="4" w:space="0" w:color="auto"/>
              <w:bottom w:val="nil"/>
            </w:tcBorders>
          </w:tcPr>
          <w:p w14:paraId="3D38B067" w14:textId="0FF7B873" w:rsidR="00A94A10" w:rsidRDefault="00A94A10" w:rsidP="00B9601D">
            <w:pPr>
              <w:shd w:val="clear" w:color="auto" w:fill="BF4E14" w:themeFill="accent2" w:themeFillShade="BF"/>
              <w:jc w:val="center"/>
              <w:rPr>
                <w:sz w:val="16"/>
                <w:szCs w:val="16"/>
              </w:rPr>
            </w:pPr>
            <w:r>
              <w:rPr>
                <w:sz w:val="16"/>
                <w:szCs w:val="16"/>
              </w:rPr>
              <w:t>-0.22</w:t>
            </w:r>
            <w:r w:rsidR="008A3A39">
              <w:rPr>
                <w:sz w:val="16"/>
                <w:szCs w:val="16"/>
              </w:rPr>
              <w:t>4</w:t>
            </w:r>
            <w:r>
              <w:rPr>
                <w:sz w:val="16"/>
                <w:szCs w:val="16"/>
              </w:rPr>
              <w:t>***</w:t>
            </w:r>
          </w:p>
          <w:p w14:paraId="42D43CEE" w14:textId="1A719E2B" w:rsidR="00A94A10" w:rsidRPr="00AE58C7" w:rsidRDefault="00A94A10" w:rsidP="00B9601D">
            <w:pPr>
              <w:shd w:val="clear" w:color="auto" w:fill="BF4E14" w:themeFill="accent2" w:themeFillShade="BF"/>
              <w:jc w:val="center"/>
              <w:rPr>
                <w:sz w:val="16"/>
                <w:szCs w:val="16"/>
              </w:rPr>
            </w:pPr>
            <w:r>
              <w:rPr>
                <w:sz w:val="16"/>
                <w:szCs w:val="16"/>
              </w:rPr>
              <w:t>(0.02</w:t>
            </w:r>
            <w:r w:rsidR="008A3A39">
              <w:rPr>
                <w:sz w:val="16"/>
                <w:szCs w:val="16"/>
              </w:rPr>
              <w:t>5</w:t>
            </w:r>
            <w:r>
              <w:rPr>
                <w:sz w:val="16"/>
                <w:szCs w:val="16"/>
              </w:rPr>
              <w:t>)</w:t>
            </w:r>
          </w:p>
        </w:tc>
        <w:tc>
          <w:tcPr>
            <w:tcW w:w="1572" w:type="dxa"/>
            <w:tcBorders>
              <w:top w:val="single" w:sz="4" w:space="0" w:color="auto"/>
              <w:bottom w:val="nil"/>
            </w:tcBorders>
          </w:tcPr>
          <w:p w14:paraId="6332444F" w14:textId="77777777" w:rsidR="00A94A10" w:rsidRPr="00AE58C7" w:rsidRDefault="00A94A10" w:rsidP="00BE68EC">
            <w:pPr>
              <w:jc w:val="center"/>
              <w:rPr>
                <w:sz w:val="16"/>
                <w:szCs w:val="16"/>
              </w:rPr>
            </w:pPr>
            <w:r>
              <w:rPr>
                <w:sz w:val="16"/>
                <w:szCs w:val="16"/>
              </w:rPr>
              <w:t>/</w:t>
            </w:r>
          </w:p>
        </w:tc>
      </w:tr>
      <w:tr w:rsidR="00A94A10" w:rsidRPr="00AE58C7" w14:paraId="660C7635" w14:textId="77777777" w:rsidTr="00B9601D">
        <w:tc>
          <w:tcPr>
            <w:tcW w:w="2740" w:type="dxa"/>
            <w:tcBorders>
              <w:top w:val="nil"/>
            </w:tcBorders>
            <w:vAlign w:val="center"/>
          </w:tcPr>
          <w:p w14:paraId="5C0F43D3" w14:textId="77777777" w:rsidR="00A94A10" w:rsidRPr="00AE58C7" w:rsidRDefault="00A94A10" w:rsidP="00BE68EC">
            <w:pPr>
              <w:rPr>
                <w:sz w:val="16"/>
                <w:szCs w:val="16"/>
              </w:rPr>
            </w:pPr>
            <w:r w:rsidRPr="00AE58C7">
              <w:rPr>
                <w:sz w:val="16"/>
                <w:szCs w:val="16"/>
              </w:rPr>
              <w:t>Sometimes/often/always lonely</w:t>
            </w:r>
          </w:p>
        </w:tc>
        <w:tc>
          <w:tcPr>
            <w:tcW w:w="1571" w:type="dxa"/>
            <w:tcBorders>
              <w:top w:val="nil"/>
            </w:tcBorders>
            <w:vAlign w:val="center"/>
          </w:tcPr>
          <w:p w14:paraId="50A9D4A9" w14:textId="77777777" w:rsidR="00A94A10" w:rsidRPr="00AE58C7" w:rsidRDefault="00A94A10" w:rsidP="00BE68EC">
            <w:pPr>
              <w:jc w:val="center"/>
              <w:rPr>
                <w:sz w:val="16"/>
                <w:szCs w:val="16"/>
              </w:rPr>
            </w:pPr>
            <w:r w:rsidRPr="00AE58C7">
              <w:rPr>
                <w:sz w:val="16"/>
                <w:szCs w:val="16"/>
              </w:rPr>
              <w:t>/</w:t>
            </w:r>
          </w:p>
        </w:tc>
        <w:tc>
          <w:tcPr>
            <w:tcW w:w="1572" w:type="dxa"/>
            <w:gridSpan w:val="2"/>
            <w:tcBorders>
              <w:top w:val="nil"/>
              <w:right w:val="single" w:sz="4" w:space="0" w:color="auto"/>
            </w:tcBorders>
            <w:shd w:val="clear" w:color="auto" w:fill="F1A983" w:themeFill="accent2" w:themeFillTint="99"/>
            <w:vAlign w:val="center"/>
          </w:tcPr>
          <w:p w14:paraId="1E503D86" w14:textId="43BB51BD" w:rsidR="00A94A10" w:rsidRDefault="00A94A10" w:rsidP="00BE68EC">
            <w:pPr>
              <w:jc w:val="center"/>
              <w:rPr>
                <w:sz w:val="16"/>
                <w:szCs w:val="16"/>
              </w:rPr>
            </w:pPr>
            <w:r>
              <w:rPr>
                <w:sz w:val="16"/>
                <w:szCs w:val="16"/>
              </w:rPr>
              <w:t>0.</w:t>
            </w:r>
            <w:r w:rsidR="0015768C">
              <w:rPr>
                <w:sz w:val="16"/>
                <w:szCs w:val="16"/>
              </w:rPr>
              <w:t>212</w:t>
            </w:r>
            <w:r>
              <w:rPr>
                <w:sz w:val="16"/>
                <w:szCs w:val="16"/>
              </w:rPr>
              <w:t>***</w:t>
            </w:r>
          </w:p>
          <w:p w14:paraId="07550743" w14:textId="7FE3B97E" w:rsidR="00A94A10" w:rsidRPr="00AE58C7" w:rsidRDefault="00A94A10" w:rsidP="00BE68EC">
            <w:pPr>
              <w:jc w:val="center"/>
              <w:rPr>
                <w:sz w:val="16"/>
                <w:szCs w:val="16"/>
              </w:rPr>
            </w:pPr>
            <w:r>
              <w:rPr>
                <w:sz w:val="16"/>
                <w:szCs w:val="16"/>
              </w:rPr>
              <w:t>(0.01</w:t>
            </w:r>
            <w:r w:rsidR="0015768C">
              <w:rPr>
                <w:sz w:val="16"/>
                <w:szCs w:val="16"/>
              </w:rPr>
              <w:t>2</w:t>
            </w:r>
            <w:r>
              <w:rPr>
                <w:sz w:val="16"/>
                <w:szCs w:val="16"/>
              </w:rPr>
              <w:t>)</w:t>
            </w:r>
          </w:p>
        </w:tc>
        <w:tc>
          <w:tcPr>
            <w:tcW w:w="1571" w:type="dxa"/>
            <w:tcBorders>
              <w:top w:val="nil"/>
              <w:left w:val="single" w:sz="4" w:space="0" w:color="auto"/>
            </w:tcBorders>
          </w:tcPr>
          <w:p w14:paraId="6404570D" w14:textId="77777777" w:rsidR="00A94A10" w:rsidRPr="00AE58C7" w:rsidRDefault="00A94A10" w:rsidP="00BE68EC">
            <w:pPr>
              <w:jc w:val="center"/>
              <w:rPr>
                <w:sz w:val="16"/>
                <w:szCs w:val="16"/>
              </w:rPr>
            </w:pPr>
            <w:r>
              <w:rPr>
                <w:sz w:val="16"/>
                <w:szCs w:val="16"/>
              </w:rPr>
              <w:t>/</w:t>
            </w:r>
          </w:p>
        </w:tc>
        <w:tc>
          <w:tcPr>
            <w:tcW w:w="1572" w:type="dxa"/>
            <w:tcBorders>
              <w:top w:val="nil"/>
            </w:tcBorders>
            <w:shd w:val="clear" w:color="auto" w:fill="F1A983" w:themeFill="accent2" w:themeFillTint="99"/>
          </w:tcPr>
          <w:p w14:paraId="158C7307" w14:textId="47B4DC08" w:rsidR="00A94A10" w:rsidRDefault="00A94A10" w:rsidP="00BE68EC">
            <w:pPr>
              <w:jc w:val="center"/>
              <w:rPr>
                <w:sz w:val="16"/>
                <w:szCs w:val="16"/>
              </w:rPr>
            </w:pPr>
            <w:r>
              <w:rPr>
                <w:sz w:val="16"/>
                <w:szCs w:val="16"/>
              </w:rPr>
              <w:t>-0.17</w:t>
            </w:r>
            <w:r w:rsidR="0015137F">
              <w:rPr>
                <w:sz w:val="16"/>
                <w:szCs w:val="16"/>
              </w:rPr>
              <w:t>5</w:t>
            </w:r>
            <w:r>
              <w:rPr>
                <w:sz w:val="16"/>
                <w:szCs w:val="16"/>
              </w:rPr>
              <w:t>***</w:t>
            </w:r>
          </w:p>
          <w:p w14:paraId="48259D33" w14:textId="7AE33B4A" w:rsidR="00A94A10" w:rsidRPr="00AE58C7" w:rsidRDefault="00A94A10" w:rsidP="00BE68EC">
            <w:pPr>
              <w:jc w:val="center"/>
              <w:rPr>
                <w:sz w:val="16"/>
                <w:szCs w:val="16"/>
              </w:rPr>
            </w:pPr>
            <w:r>
              <w:rPr>
                <w:sz w:val="16"/>
                <w:szCs w:val="16"/>
              </w:rPr>
              <w:t>(0.01</w:t>
            </w:r>
            <w:r w:rsidR="0015137F">
              <w:rPr>
                <w:sz w:val="16"/>
                <w:szCs w:val="16"/>
              </w:rPr>
              <w:t>2</w:t>
            </w:r>
            <w:r>
              <w:rPr>
                <w:sz w:val="16"/>
                <w:szCs w:val="16"/>
              </w:rPr>
              <w:t>)</w:t>
            </w:r>
          </w:p>
        </w:tc>
      </w:tr>
      <w:tr w:rsidR="00A94A10" w:rsidRPr="00AE58C7" w14:paraId="23C7435B" w14:textId="77777777" w:rsidTr="00BE68EC">
        <w:tc>
          <w:tcPr>
            <w:tcW w:w="2740" w:type="dxa"/>
            <w:tcBorders>
              <w:top w:val="single" w:sz="4" w:space="0" w:color="auto"/>
            </w:tcBorders>
            <w:vAlign w:val="center"/>
          </w:tcPr>
          <w:p w14:paraId="071FB071" w14:textId="77777777" w:rsidR="00A94A10" w:rsidRPr="00AE58C7" w:rsidRDefault="00A94A10" w:rsidP="00BE68EC">
            <w:pPr>
              <w:rPr>
                <w:b/>
                <w:bCs/>
                <w:sz w:val="16"/>
                <w:szCs w:val="16"/>
              </w:rPr>
            </w:pPr>
            <w:r w:rsidRPr="00AE58C7">
              <w:rPr>
                <w:sz w:val="16"/>
                <w:szCs w:val="16"/>
              </w:rPr>
              <w:t>Female</w:t>
            </w:r>
          </w:p>
        </w:tc>
        <w:tc>
          <w:tcPr>
            <w:tcW w:w="1571" w:type="dxa"/>
            <w:tcBorders>
              <w:top w:val="single" w:sz="4" w:space="0" w:color="auto"/>
            </w:tcBorders>
            <w:vAlign w:val="center"/>
          </w:tcPr>
          <w:p w14:paraId="65C082B7" w14:textId="7872BCB6" w:rsidR="00A94A10" w:rsidRDefault="00A94A10" w:rsidP="00BE68EC">
            <w:pPr>
              <w:jc w:val="center"/>
              <w:rPr>
                <w:sz w:val="16"/>
                <w:szCs w:val="16"/>
              </w:rPr>
            </w:pPr>
            <w:r>
              <w:rPr>
                <w:sz w:val="16"/>
                <w:szCs w:val="16"/>
              </w:rPr>
              <w:t>0.0</w:t>
            </w:r>
            <w:r w:rsidR="00E71D57">
              <w:rPr>
                <w:sz w:val="16"/>
                <w:szCs w:val="16"/>
              </w:rPr>
              <w:t>42</w:t>
            </w:r>
            <w:r>
              <w:rPr>
                <w:sz w:val="16"/>
                <w:szCs w:val="16"/>
              </w:rPr>
              <w:t>***</w:t>
            </w:r>
          </w:p>
          <w:p w14:paraId="25639201" w14:textId="7D7BEB7B" w:rsidR="00A94A10" w:rsidRPr="00AE58C7" w:rsidRDefault="00A94A10" w:rsidP="00BE68EC">
            <w:pPr>
              <w:jc w:val="center"/>
              <w:rPr>
                <w:sz w:val="16"/>
                <w:szCs w:val="16"/>
              </w:rPr>
            </w:pPr>
            <w:r>
              <w:rPr>
                <w:sz w:val="16"/>
                <w:szCs w:val="16"/>
              </w:rPr>
              <w:t>(0.00</w:t>
            </w:r>
            <w:r w:rsidR="00E71D57">
              <w:rPr>
                <w:sz w:val="16"/>
                <w:szCs w:val="16"/>
              </w:rPr>
              <w:t>7</w:t>
            </w:r>
            <w:r>
              <w:rPr>
                <w:sz w:val="16"/>
                <w:szCs w:val="16"/>
              </w:rPr>
              <w:t>)</w:t>
            </w:r>
          </w:p>
        </w:tc>
        <w:tc>
          <w:tcPr>
            <w:tcW w:w="1572" w:type="dxa"/>
            <w:gridSpan w:val="2"/>
            <w:tcBorders>
              <w:top w:val="single" w:sz="4" w:space="0" w:color="auto"/>
              <w:right w:val="single" w:sz="4" w:space="0" w:color="auto"/>
            </w:tcBorders>
            <w:vAlign w:val="center"/>
          </w:tcPr>
          <w:p w14:paraId="77E4FCF0" w14:textId="5605685F" w:rsidR="00A94A10" w:rsidRDefault="00A94A10" w:rsidP="00BE68EC">
            <w:pPr>
              <w:jc w:val="center"/>
              <w:rPr>
                <w:sz w:val="16"/>
                <w:szCs w:val="16"/>
              </w:rPr>
            </w:pPr>
            <w:r>
              <w:rPr>
                <w:sz w:val="16"/>
                <w:szCs w:val="16"/>
              </w:rPr>
              <w:t>0.0</w:t>
            </w:r>
            <w:r w:rsidR="0015768C">
              <w:rPr>
                <w:sz w:val="16"/>
                <w:szCs w:val="16"/>
              </w:rPr>
              <w:t>39</w:t>
            </w:r>
            <w:r>
              <w:rPr>
                <w:sz w:val="16"/>
                <w:szCs w:val="16"/>
              </w:rPr>
              <w:t>***</w:t>
            </w:r>
          </w:p>
          <w:p w14:paraId="26C87574" w14:textId="1CEDA9D2" w:rsidR="00A94A10" w:rsidRPr="00AE58C7" w:rsidRDefault="00A94A10" w:rsidP="00BE68EC">
            <w:pPr>
              <w:jc w:val="center"/>
              <w:rPr>
                <w:sz w:val="16"/>
                <w:szCs w:val="16"/>
              </w:rPr>
            </w:pPr>
            <w:r>
              <w:rPr>
                <w:sz w:val="16"/>
                <w:szCs w:val="16"/>
              </w:rPr>
              <w:t>(0.00</w:t>
            </w:r>
            <w:r w:rsidR="0015768C">
              <w:rPr>
                <w:sz w:val="16"/>
                <w:szCs w:val="16"/>
              </w:rPr>
              <w:t>7</w:t>
            </w:r>
            <w:r>
              <w:rPr>
                <w:sz w:val="16"/>
                <w:szCs w:val="16"/>
              </w:rPr>
              <w:t>)</w:t>
            </w:r>
          </w:p>
        </w:tc>
        <w:tc>
          <w:tcPr>
            <w:tcW w:w="1571" w:type="dxa"/>
            <w:tcBorders>
              <w:top w:val="single" w:sz="4" w:space="0" w:color="auto"/>
              <w:left w:val="single" w:sz="4" w:space="0" w:color="auto"/>
            </w:tcBorders>
          </w:tcPr>
          <w:p w14:paraId="734EBD20" w14:textId="7871C823" w:rsidR="00A94A10" w:rsidRDefault="00A94A10" w:rsidP="00BE68EC">
            <w:pPr>
              <w:jc w:val="center"/>
              <w:rPr>
                <w:sz w:val="16"/>
                <w:szCs w:val="16"/>
              </w:rPr>
            </w:pPr>
            <w:r>
              <w:rPr>
                <w:sz w:val="16"/>
                <w:szCs w:val="16"/>
              </w:rPr>
              <w:t>-0.00</w:t>
            </w:r>
            <w:r w:rsidR="00B37F3F">
              <w:rPr>
                <w:sz w:val="16"/>
                <w:szCs w:val="16"/>
              </w:rPr>
              <w:t>6</w:t>
            </w:r>
          </w:p>
          <w:p w14:paraId="2EBA7A99" w14:textId="6C7EDFAB" w:rsidR="00A94A10" w:rsidRPr="00AE58C7" w:rsidRDefault="00A94A10" w:rsidP="00BE68EC">
            <w:pPr>
              <w:jc w:val="center"/>
              <w:rPr>
                <w:sz w:val="16"/>
                <w:szCs w:val="16"/>
              </w:rPr>
            </w:pPr>
            <w:r>
              <w:rPr>
                <w:sz w:val="16"/>
                <w:szCs w:val="16"/>
              </w:rPr>
              <w:t>(0.00</w:t>
            </w:r>
            <w:r w:rsidR="00B37F3F">
              <w:rPr>
                <w:sz w:val="16"/>
                <w:szCs w:val="16"/>
              </w:rPr>
              <w:t>8</w:t>
            </w:r>
            <w:r>
              <w:rPr>
                <w:sz w:val="16"/>
                <w:szCs w:val="16"/>
              </w:rPr>
              <w:t>)</w:t>
            </w:r>
          </w:p>
        </w:tc>
        <w:tc>
          <w:tcPr>
            <w:tcW w:w="1572" w:type="dxa"/>
            <w:tcBorders>
              <w:top w:val="single" w:sz="4" w:space="0" w:color="auto"/>
            </w:tcBorders>
          </w:tcPr>
          <w:p w14:paraId="42FE10BB" w14:textId="6D59B8C2" w:rsidR="00A94A10" w:rsidRDefault="00A94A10" w:rsidP="00BE68EC">
            <w:pPr>
              <w:jc w:val="center"/>
              <w:rPr>
                <w:sz w:val="16"/>
                <w:szCs w:val="16"/>
              </w:rPr>
            </w:pPr>
            <w:r>
              <w:rPr>
                <w:sz w:val="16"/>
                <w:szCs w:val="16"/>
              </w:rPr>
              <w:t>-0.00</w:t>
            </w:r>
            <w:r w:rsidR="00206326">
              <w:rPr>
                <w:sz w:val="16"/>
                <w:szCs w:val="16"/>
              </w:rPr>
              <w:t>1</w:t>
            </w:r>
          </w:p>
          <w:p w14:paraId="27D4A4E9" w14:textId="15A4A6B8" w:rsidR="00A94A10" w:rsidRPr="00AE58C7" w:rsidRDefault="00A94A10" w:rsidP="00BE68EC">
            <w:pPr>
              <w:jc w:val="center"/>
              <w:rPr>
                <w:sz w:val="16"/>
                <w:szCs w:val="16"/>
              </w:rPr>
            </w:pPr>
            <w:r>
              <w:rPr>
                <w:sz w:val="16"/>
                <w:szCs w:val="16"/>
              </w:rPr>
              <w:t>(0.00</w:t>
            </w:r>
            <w:r w:rsidR="00206326">
              <w:rPr>
                <w:sz w:val="16"/>
                <w:szCs w:val="16"/>
              </w:rPr>
              <w:t>8</w:t>
            </w:r>
            <w:r>
              <w:rPr>
                <w:sz w:val="16"/>
                <w:szCs w:val="16"/>
              </w:rPr>
              <w:t>)</w:t>
            </w:r>
          </w:p>
        </w:tc>
      </w:tr>
      <w:tr w:rsidR="00A94A10" w:rsidRPr="00AE58C7" w14:paraId="41863C2F" w14:textId="77777777" w:rsidTr="00BE68EC">
        <w:tc>
          <w:tcPr>
            <w:tcW w:w="4311" w:type="dxa"/>
            <w:gridSpan w:val="2"/>
            <w:vAlign w:val="center"/>
          </w:tcPr>
          <w:p w14:paraId="2E6FC331" w14:textId="77777777" w:rsidR="00A94A10" w:rsidRPr="00AE58C7" w:rsidRDefault="00A94A10" w:rsidP="00BE68EC">
            <w:pPr>
              <w:rPr>
                <w:sz w:val="16"/>
                <w:szCs w:val="16"/>
              </w:rPr>
            </w:pPr>
            <w:r w:rsidRPr="00AE58C7">
              <w:rPr>
                <w:i/>
                <w:iCs/>
                <w:sz w:val="16"/>
                <w:szCs w:val="16"/>
              </w:rPr>
              <w:t>Age category (Ref: 15-29 years)</w:t>
            </w:r>
          </w:p>
        </w:tc>
        <w:tc>
          <w:tcPr>
            <w:tcW w:w="1572" w:type="dxa"/>
            <w:gridSpan w:val="2"/>
            <w:tcBorders>
              <w:right w:val="single" w:sz="4" w:space="0" w:color="auto"/>
            </w:tcBorders>
            <w:vAlign w:val="center"/>
          </w:tcPr>
          <w:p w14:paraId="109FED12" w14:textId="77777777" w:rsidR="00A94A10" w:rsidRPr="00AE58C7" w:rsidRDefault="00A94A10" w:rsidP="00BE68EC">
            <w:pPr>
              <w:jc w:val="center"/>
              <w:rPr>
                <w:sz w:val="16"/>
                <w:szCs w:val="16"/>
              </w:rPr>
            </w:pPr>
          </w:p>
        </w:tc>
        <w:tc>
          <w:tcPr>
            <w:tcW w:w="1571" w:type="dxa"/>
            <w:tcBorders>
              <w:left w:val="single" w:sz="4" w:space="0" w:color="auto"/>
            </w:tcBorders>
          </w:tcPr>
          <w:p w14:paraId="62567CD7" w14:textId="77777777" w:rsidR="00A94A10" w:rsidRDefault="00A94A10" w:rsidP="00BE68EC">
            <w:pPr>
              <w:jc w:val="center"/>
              <w:rPr>
                <w:sz w:val="16"/>
                <w:szCs w:val="16"/>
              </w:rPr>
            </w:pPr>
          </w:p>
        </w:tc>
        <w:tc>
          <w:tcPr>
            <w:tcW w:w="1572" w:type="dxa"/>
          </w:tcPr>
          <w:p w14:paraId="2B0031E1" w14:textId="77777777" w:rsidR="00A94A10" w:rsidRDefault="00A94A10" w:rsidP="00BE68EC">
            <w:pPr>
              <w:rPr>
                <w:sz w:val="16"/>
                <w:szCs w:val="16"/>
              </w:rPr>
            </w:pPr>
          </w:p>
        </w:tc>
      </w:tr>
      <w:tr w:rsidR="00A94A10" w:rsidRPr="00AE58C7" w14:paraId="7355FBB8" w14:textId="77777777" w:rsidTr="00BE68EC">
        <w:tc>
          <w:tcPr>
            <w:tcW w:w="2740" w:type="dxa"/>
            <w:vAlign w:val="center"/>
          </w:tcPr>
          <w:p w14:paraId="55BFC0CC" w14:textId="77777777" w:rsidR="00A94A10" w:rsidRPr="00AE58C7" w:rsidRDefault="00A94A10" w:rsidP="00BE68EC">
            <w:pPr>
              <w:rPr>
                <w:b/>
                <w:bCs/>
                <w:sz w:val="16"/>
                <w:szCs w:val="16"/>
              </w:rPr>
            </w:pPr>
            <w:r w:rsidRPr="00AE58C7">
              <w:rPr>
                <w:sz w:val="16"/>
                <w:szCs w:val="16"/>
              </w:rPr>
              <w:t xml:space="preserve"> 30-49</w:t>
            </w:r>
          </w:p>
        </w:tc>
        <w:tc>
          <w:tcPr>
            <w:tcW w:w="1571" w:type="dxa"/>
            <w:vAlign w:val="center"/>
          </w:tcPr>
          <w:p w14:paraId="38543743" w14:textId="785C27C3" w:rsidR="00A94A10" w:rsidRDefault="00A94A10" w:rsidP="00BE68EC">
            <w:pPr>
              <w:jc w:val="center"/>
              <w:rPr>
                <w:sz w:val="16"/>
                <w:szCs w:val="16"/>
              </w:rPr>
            </w:pPr>
            <w:r>
              <w:rPr>
                <w:sz w:val="16"/>
                <w:szCs w:val="16"/>
              </w:rPr>
              <w:t>-0.00</w:t>
            </w:r>
            <w:r w:rsidR="00E71D57">
              <w:rPr>
                <w:sz w:val="16"/>
                <w:szCs w:val="16"/>
              </w:rPr>
              <w:t>6</w:t>
            </w:r>
          </w:p>
          <w:p w14:paraId="11D8E76D" w14:textId="5F3A74BD" w:rsidR="00A94A10" w:rsidRPr="00AE58C7" w:rsidRDefault="00A94A10" w:rsidP="00BE68EC">
            <w:pPr>
              <w:jc w:val="center"/>
              <w:rPr>
                <w:sz w:val="16"/>
                <w:szCs w:val="16"/>
              </w:rPr>
            </w:pPr>
            <w:r>
              <w:rPr>
                <w:sz w:val="16"/>
                <w:szCs w:val="16"/>
              </w:rPr>
              <w:t>(0.01</w:t>
            </w:r>
            <w:r w:rsidR="00E71D57">
              <w:rPr>
                <w:sz w:val="16"/>
                <w:szCs w:val="16"/>
              </w:rPr>
              <w:t>2</w:t>
            </w:r>
            <w:r>
              <w:rPr>
                <w:sz w:val="16"/>
                <w:szCs w:val="16"/>
              </w:rPr>
              <w:t>)</w:t>
            </w:r>
          </w:p>
        </w:tc>
        <w:tc>
          <w:tcPr>
            <w:tcW w:w="1572" w:type="dxa"/>
            <w:gridSpan w:val="2"/>
            <w:tcBorders>
              <w:right w:val="single" w:sz="4" w:space="0" w:color="auto"/>
            </w:tcBorders>
            <w:vAlign w:val="center"/>
          </w:tcPr>
          <w:p w14:paraId="4932EB28" w14:textId="4FADF611" w:rsidR="00A94A10" w:rsidRDefault="00A94A10" w:rsidP="00BE68EC">
            <w:pPr>
              <w:jc w:val="center"/>
              <w:rPr>
                <w:sz w:val="16"/>
                <w:szCs w:val="16"/>
              </w:rPr>
            </w:pPr>
            <w:r>
              <w:rPr>
                <w:sz w:val="16"/>
                <w:szCs w:val="16"/>
              </w:rPr>
              <w:t>-0.00</w:t>
            </w:r>
            <w:r w:rsidR="0015768C">
              <w:rPr>
                <w:sz w:val="16"/>
                <w:szCs w:val="16"/>
              </w:rPr>
              <w:t>4</w:t>
            </w:r>
          </w:p>
          <w:p w14:paraId="41743DF7" w14:textId="269352DE" w:rsidR="00A94A10" w:rsidRPr="00AE58C7" w:rsidRDefault="00A94A10" w:rsidP="00BE68EC">
            <w:pPr>
              <w:jc w:val="center"/>
              <w:rPr>
                <w:sz w:val="16"/>
                <w:szCs w:val="16"/>
              </w:rPr>
            </w:pPr>
            <w:r>
              <w:rPr>
                <w:sz w:val="16"/>
                <w:szCs w:val="16"/>
              </w:rPr>
              <w:t>(0.</w:t>
            </w:r>
            <w:r w:rsidR="00433652">
              <w:rPr>
                <w:sz w:val="16"/>
                <w:szCs w:val="16"/>
              </w:rPr>
              <w:t>012</w:t>
            </w:r>
            <w:r>
              <w:rPr>
                <w:sz w:val="16"/>
                <w:szCs w:val="16"/>
              </w:rPr>
              <w:t>)</w:t>
            </w:r>
          </w:p>
        </w:tc>
        <w:tc>
          <w:tcPr>
            <w:tcW w:w="1571" w:type="dxa"/>
            <w:tcBorders>
              <w:left w:val="single" w:sz="4" w:space="0" w:color="auto"/>
            </w:tcBorders>
          </w:tcPr>
          <w:p w14:paraId="2379FDCE" w14:textId="30EA7AD0" w:rsidR="00A94A10" w:rsidRDefault="00A94A10" w:rsidP="00BE68EC">
            <w:pPr>
              <w:jc w:val="center"/>
              <w:rPr>
                <w:sz w:val="16"/>
                <w:szCs w:val="16"/>
              </w:rPr>
            </w:pPr>
            <w:r>
              <w:rPr>
                <w:sz w:val="16"/>
                <w:szCs w:val="16"/>
              </w:rPr>
              <w:t>-0.0</w:t>
            </w:r>
            <w:r w:rsidR="00B37F3F">
              <w:rPr>
                <w:sz w:val="16"/>
                <w:szCs w:val="16"/>
              </w:rPr>
              <w:t>25</w:t>
            </w:r>
            <w:r>
              <w:rPr>
                <w:sz w:val="16"/>
                <w:szCs w:val="16"/>
              </w:rPr>
              <w:t>*</w:t>
            </w:r>
          </w:p>
          <w:p w14:paraId="1A0A8FD8" w14:textId="088BCF91" w:rsidR="00A94A10" w:rsidRPr="00AE58C7" w:rsidRDefault="00A94A10" w:rsidP="00BE68EC">
            <w:pPr>
              <w:jc w:val="center"/>
              <w:rPr>
                <w:sz w:val="16"/>
                <w:szCs w:val="16"/>
              </w:rPr>
            </w:pPr>
            <w:r>
              <w:rPr>
                <w:sz w:val="16"/>
                <w:szCs w:val="16"/>
              </w:rPr>
              <w:t>(0.01</w:t>
            </w:r>
            <w:r w:rsidR="00B37F3F">
              <w:rPr>
                <w:sz w:val="16"/>
                <w:szCs w:val="16"/>
              </w:rPr>
              <w:t>3</w:t>
            </w:r>
            <w:r>
              <w:rPr>
                <w:sz w:val="16"/>
                <w:szCs w:val="16"/>
              </w:rPr>
              <w:t>)</w:t>
            </w:r>
          </w:p>
        </w:tc>
        <w:tc>
          <w:tcPr>
            <w:tcW w:w="1572" w:type="dxa"/>
          </w:tcPr>
          <w:p w14:paraId="223D1A4D" w14:textId="6B07993B" w:rsidR="00A94A10" w:rsidRDefault="00A94A10" w:rsidP="00BE68EC">
            <w:pPr>
              <w:jc w:val="center"/>
              <w:rPr>
                <w:sz w:val="16"/>
                <w:szCs w:val="16"/>
              </w:rPr>
            </w:pPr>
            <w:r>
              <w:rPr>
                <w:sz w:val="16"/>
                <w:szCs w:val="16"/>
              </w:rPr>
              <w:t>-0.0</w:t>
            </w:r>
            <w:r w:rsidR="00206326">
              <w:rPr>
                <w:sz w:val="16"/>
                <w:szCs w:val="16"/>
              </w:rPr>
              <w:t>26</w:t>
            </w:r>
            <w:r>
              <w:rPr>
                <w:sz w:val="16"/>
                <w:szCs w:val="16"/>
              </w:rPr>
              <w:t>*</w:t>
            </w:r>
          </w:p>
          <w:p w14:paraId="1D26C4BB" w14:textId="55FD21D4" w:rsidR="00A94A10" w:rsidRPr="00AE58C7" w:rsidRDefault="00A94A10" w:rsidP="00BE68EC">
            <w:pPr>
              <w:jc w:val="center"/>
              <w:rPr>
                <w:sz w:val="16"/>
                <w:szCs w:val="16"/>
              </w:rPr>
            </w:pPr>
            <w:r>
              <w:rPr>
                <w:sz w:val="16"/>
                <w:szCs w:val="16"/>
              </w:rPr>
              <w:t>(0.01</w:t>
            </w:r>
            <w:r w:rsidR="00206326">
              <w:rPr>
                <w:sz w:val="16"/>
                <w:szCs w:val="16"/>
              </w:rPr>
              <w:t>3</w:t>
            </w:r>
            <w:r>
              <w:rPr>
                <w:sz w:val="16"/>
                <w:szCs w:val="16"/>
              </w:rPr>
              <w:t>)</w:t>
            </w:r>
          </w:p>
        </w:tc>
      </w:tr>
      <w:tr w:rsidR="00A94A10" w:rsidRPr="00AE58C7" w14:paraId="2582529D" w14:textId="77777777" w:rsidTr="00BE68EC">
        <w:tc>
          <w:tcPr>
            <w:tcW w:w="2740" w:type="dxa"/>
            <w:vAlign w:val="center"/>
          </w:tcPr>
          <w:p w14:paraId="44A6AE1D" w14:textId="77777777" w:rsidR="00A94A10" w:rsidRPr="00AE58C7" w:rsidRDefault="00A94A10" w:rsidP="00BE68EC">
            <w:pPr>
              <w:rPr>
                <w:b/>
                <w:bCs/>
                <w:sz w:val="16"/>
                <w:szCs w:val="16"/>
              </w:rPr>
            </w:pPr>
            <w:r w:rsidRPr="00AE58C7">
              <w:rPr>
                <w:sz w:val="16"/>
                <w:szCs w:val="16"/>
              </w:rPr>
              <w:t xml:space="preserve"> 50-64</w:t>
            </w:r>
          </w:p>
        </w:tc>
        <w:tc>
          <w:tcPr>
            <w:tcW w:w="1571" w:type="dxa"/>
            <w:vAlign w:val="center"/>
          </w:tcPr>
          <w:p w14:paraId="49727A82" w14:textId="77777777" w:rsidR="00A94A10" w:rsidRDefault="00A94A10" w:rsidP="00BE68EC">
            <w:pPr>
              <w:jc w:val="center"/>
              <w:rPr>
                <w:sz w:val="16"/>
                <w:szCs w:val="16"/>
              </w:rPr>
            </w:pPr>
            <w:r>
              <w:rPr>
                <w:sz w:val="16"/>
                <w:szCs w:val="16"/>
              </w:rPr>
              <w:t>-0.048***</w:t>
            </w:r>
          </w:p>
          <w:p w14:paraId="47D29D40" w14:textId="128A149D" w:rsidR="00A94A10" w:rsidRPr="00AE58C7" w:rsidRDefault="00A94A10" w:rsidP="00BE68EC">
            <w:pPr>
              <w:jc w:val="center"/>
              <w:rPr>
                <w:sz w:val="16"/>
                <w:szCs w:val="16"/>
              </w:rPr>
            </w:pPr>
            <w:r>
              <w:rPr>
                <w:sz w:val="16"/>
                <w:szCs w:val="16"/>
              </w:rPr>
              <w:t>(0.01</w:t>
            </w:r>
            <w:r w:rsidR="00E71D57">
              <w:rPr>
                <w:sz w:val="16"/>
                <w:szCs w:val="16"/>
              </w:rPr>
              <w:t>3</w:t>
            </w:r>
            <w:r>
              <w:rPr>
                <w:sz w:val="16"/>
                <w:szCs w:val="16"/>
              </w:rPr>
              <w:t>)</w:t>
            </w:r>
          </w:p>
        </w:tc>
        <w:tc>
          <w:tcPr>
            <w:tcW w:w="1572" w:type="dxa"/>
            <w:gridSpan w:val="2"/>
            <w:tcBorders>
              <w:right w:val="single" w:sz="4" w:space="0" w:color="auto"/>
            </w:tcBorders>
            <w:vAlign w:val="center"/>
          </w:tcPr>
          <w:p w14:paraId="75E779C9" w14:textId="235BF460" w:rsidR="00A94A10" w:rsidRDefault="00A94A10" w:rsidP="00BE68EC">
            <w:pPr>
              <w:jc w:val="center"/>
              <w:rPr>
                <w:sz w:val="16"/>
                <w:szCs w:val="16"/>
              </w:rPr>
            </w:pPr>
            <w:r>
              <w:rPr>
                <w:sz w:val="16"/>
                <w:szCs w:val="16"/>
              </w:rPr>
              <w:t>-0.04</w:t>
            </w:r>
            <w:r w:rsidR="00433652">
              <w:rPr>
                <w:sz w:val="16"/>
                <w:szCs w:val="16"/>
              </w:rPr>
              <w:t>4</w:t>
            </w:r>
            <w:r>
              <w:rPr>
                <w:sz w:val="16"/>
                <w:szCs w:val="16"/>
              </w:rPr>
              <w:t>**</w:t>
            </w:r>
          </w:p>
          <w:p w14:paraId="4C38168B" w14:textId="1ED281FD" w:rsidR="00A94A10" w:rsidRPr="00AE58C7" w:rsidRDefault="00A94A10" w:rsidP="00BE68EC">
            <w:pPr>
              <w:jc w:val="center"/>
              <w:rPr>
                <w:sz w:val="16"/>
                <w:szCs w:val="16"/>
              </w:rPr>
            </w:pPr>
            <w:r>
              <w:rPr>
                <w:sz w:val="16"/>
                <w:szCs w:val="16"/>
              </w:rPr>
              <w:t>(0.01</w:t>
            </w:r>
            <w:r w:rsidR="00433652">
              <w:rPr>
                <w:sz w:val="16"/>
                <w:szCs w:val="16"/>
              </w:rPr>
              <w:t>3</w:t>
            </w:r>
            <w:r>
              <w:rPr>
                <w:sz w:val="16"/>
                <w:szCs w:val="16"/>
              </w:rPr>
              <w:t>)</w:t>
            </w:r>
          </w:p>
        </w:tc>
        <w:tc>
          <w:tcPr>
            <w:tcW w:w="1571" w:type="dxa"/>
            <w:tcBorders>
              <w:left w:val="single" w:sz="4" w:space="0" w:color="auto"/>
            </w:tcBorders>
          </w:tcPr>
          <w:p w14:paraId="1EC5BC86" w14:textId="27CCFE67" w:rsidR="00A94A10" w:rsidRPr="001F5300" w:rsidRDefault="00A94A10" w:rsidP="00BE68EC">
            <w:pPr>
              <w:jc w:val="center"/>
              <w:rPr>
                <w:sz w:val="16"/>
                <w:szCs w:val="16"/>
                <w:vertAlign w:val="superscript"/>
              </w:rPr>
            </w:pPr>
            <w:r>
              <w:rPr>
                <w:sz w:val="16"/>
                <w:szCs w:val="16"/>
              </w:rPr>
              <w:t>-0.0</w:t>
            </w:r>
            <w:r w:rsidR="00C51905">
              <w:rPr>
                <w:sz w:val="16"/>
                <w:szCs w:val="16"/>
              </w:rPr>
              <w:t>17</w:t>
            </w:r>
          </w:p>
          <w:p w14:paraId="22DE14FB" w14:textId="3E09270A" w:rsidR="00A94A10" w:rsidRPr="00AE58C7" w:rsidRDefault="00A94A10" w:rsidP="00BE68EC">
            <w:pPr>
              <w:jc w:val="center"/>
              <w:rPr>
                <w:sz w:val="16"/>
                <w:szCs w:val="16"/>
              </w:rPr>
            </w:pPr>
            <w:r>
              <w:rPr>
                <w:sz w:val="16"/>
                <w:szCs w:val="16"/>
              </w:rPr>
              <w:t>(0.01</w:t>
            </w:r>
            <w:r w:rsidR="00C51905">
              <w:rPr>
                <w:sz w:val="16"/>
                <w:szCs w:val="16"/>
              </w:rPr>
              <w:t>4</w:t>
            </w:r>
            <w:r>
              <w:rPr>
                <w:sz w:val="16"/>
                <w:szCs w:val="16"/>
              </w:rPr>
              <w:t>)</w:t>
            </w:r>
          </w:p>
        </w:tc>
        <w:tc>
          <w:tcPr>
            <w:tcW w:w="1572" w:type="dxa"/>
          </w:tcPr>
          <w:p w14:paraId="3CD7B2C8" w14:textId="310CFCF8" w:rsidR="00A94A10" w:rsidRDefault="00A94A10" w:rsidP="00BE68EC">
            <w:pPr>
              <w:jc w:val="center"/>
              <w:rPr>
                <w:sz w:val="16"/>
                <w:szCs w:val="16"/>
              </w:rPr>
            </w:pPr>
            <w:r>
              <w:rPr>
                <w:sz w:val="16"/>
                <w:szCs w:val="16"/>
              </w:rPr>
              <w:t>-0.02</w:t>
            </w:r>
            <w:r w:rsidR="00206326">
              <w:rPr>
                <w:sz w:val="16"/>
                <w:szCs w:val="16"/>
              </w:rPr>
              <w:t>1</w:t>
            </w:r>
          </w:p>
          <w:p w14:paraId="39F27514" w14:textId="0868A19F" w:rsidR="00A94A10" w:rsidRPr="00AE58C7" w:rsidRDefault="00A94A10" w:rsidP="00BE68EC">
            <w:pPr>
              <w:jc w:val="center"/>
              <w:rPr>
                <w:sz w:val="16"/>
                <w:szCs w:val="16"/>
              </w:rPr>
            </w:pPr>
            <w:r>
              <w:rPr>
                <w:sz w:val="16"/>
                <w:szCs w:val="16"/>
              </w:rPr>
              <w:t>(0.01</w:t>
            </w:r>
            <w:r w:rsidR="00206326">
              <w:rPr>
                <w:sz w:val="16"/>
                <w:szCs w:val="16"/>
              </w:rPr>
              <w:t>4</w:t>
            </w:r>
            <w:r>
              <w:rPr>
                <w:sz w:val="16"/>
                <w:szCs w:val="16"/>
              </w:rPr>
              <w:t>)</w:t>
            </w:r>
          </w:p>
        </w:tc>
      </w:tr>
      <w:tr w:rsidR="00A94A10" w:rsidRPr="00AE58C7" w14:paraId="61699EF7" w14:textId="77777777" w:rsidTr="00BE68EC">
        <w:tc>
          <w:tcPr>
            <w:tcW w:w="2740" w:type="dxa"/>
            <w:vAlign w:val="center"/>
          </w:tcPr>
          <w:p w14:paraId="13A81C6B" w14:textId="77777777" w:rsidR="00A94A10" w:rsidRPr="00AE58C7" w:rsidRDefault="00A94A10" w:rsidP="00BE68EC">
            <w:pPr>
              <w:rPr>
                <w:b/>
                <w:bCs/>
                <w:sz w:val="16"/>
                <w:szCs w:val="16"/>
              </w:rPr>
            </w:pPr>
            <w:r w:rsidRPr="00AE58C7">
              <w:rPr>
                <w:sz w:val="16"/>
                <w:szCs w:val="16"/>
              </w:rPr>
              <w:t xml:space="preserve"> 65+</w:t>
            </w:r>
          </w:p>
        </w:tc>
        <w:tc>
          <w:tcPr>
            <w:tcW w:w="1571" w:type="dxa"/>
            <w:vAlign w:val="center"/>
          </w:tcPr>
          <w:p w14:paraId="3356DE02" w14:textId="2AF62EAD" w:rsidR="00A94A10" w:rsidRDefault="00A94A10" w:rsidP="00BE68EC">
            <w:pPr>
              <w:jc w:val="center"/>
              <w:rPr>
                <w:sz w:val="16"/>
                <w:szCs w:val="16"/>
              </w:rPr>
            </w:pPr>
            <w:r>
              <w:rPr>
                <w:sz w:val="16"/>
                <w:szCs w:val="16"/>
              </w:rPr>
              <w:t>-0.0</w:t>
            </w:r>
            <w:r w:rsidR="0030142A">
              <w:rPr>
                <w:sz w:val="16"/>
                <w:szCs w:val="16"/>
              </w:rPr>
              <w:t>94</w:t>
            </w:r>
            <w:r>
              <w:rPr>
                <w:sz w:val="16"/>
                <w:szCs w:val="16"/>
              </w:rPr>
              <w:t>***</w:t>
            </w:r>
          </w:p>
          <w:p w14:paraId="268FC1DA" w14:textId="4FB4A4AB" w:rsidR="00A94A10" w:rsidRPr="00AE58C7" w:rsidRDefault="00A94A10" w:rsidP="003745BB">
            <w:pPr>
              <w:jc w:val="center"/>
              <w:rPr>
                <w:sz w:val="16"/>
                <w:szCs w:val="16"/>
              </w:rPr>
            </w:pPr>
            <w:r>
              <w:rPr>
                <w:sz w:val="16"/>
                <w:szCs w:val="16"/>
              </w:rPr>
              <w:t>(0.01</w:t>
            </w:r>
            <w:r w:rsidR="003745BB">
              <w:rPr>
                <w:sz w:val="16"/>
                <w:szCs w:val="16"/>
              </w:rPr>
              <w:t>4</w:t>
            </w:r>
            <w:r>
              <w:rPr>
                <w:sz w:val="16"/>
                <w:szCs w:val="16"/>
              </w:rPr>
              <w:t>)</w:t>
            </w:r>
          </w:p>
        </w:tc>
        <w:tc>
          <w:tcPr>
            <w:tcW w:w="1572" w:type="dxa"/>
            <w:gridSpan w:val="2"/>
            <w:tcBorders>
              <w:right w:val="single" w:sz="4" w:space="0" w:color="auto"/>
            </w:tcBorders>
            <w:vAlign w:val="center"/>
          </w:tcPr>
          <w:p w14:paraId="740C9AD7" w14:textId="5698149F" w:rsidR="00A94A10" w:rsidRDefault="00A94A10" w:rsidP="00BE68EC">
            <w:pPr>
              <w:jc w:val="center"/>
              <w:rPr>
                <w:sz w:val="16"/>
                <w:szCs w:val="16"/>
              </w:rPr>
            </w:pPr>
            <w:r>
              <w:rPr>
                <w:sz w:val="16"/>
                <w:szCs w:val="16"/>
              </w:rPr>
              <w:t>-0.0</w:t>
            </w:r>
            <w:r w:rsidR="00433652">
              <w:rPr>
                <w:sz w:val="16"/>
                <w:szCs w:val="16"/>
              </w:rPr>
              <w:t>8</w:t>
            </w:r>
            <w:r w:rsidR="007A29CC">
              <w:rPr>
                <w:sz w:val="16"/>
                <w:szCs w:val="16"/>
              </w:rPr>
              <w:t>8</w:t>
            </w:r>
            <w:r>
              <w:rPr>
                <w:sz w:val="16"/>
                <w:szCs w:val="16"/>
              </w:rPr>
              <w:t>***</w:t>
            </w:r>
          </w:p>
          <w:p w14:paraId="229D115C" w14:textId="2E773EBE" w:rsidR="00A94A10" w:rsidRPr="00AE58C7" w:rsidRDefault="00A94A10" w:rsidP="00BE68EC">
            <w:pPr>
              <w:jc w:val="center"/>
              <w:rPr>
                <w:sz w:val="16"/>
                <w:szCs w:val="16"/>
              </w:rPr>
            </w:pPr>
            <w:r>
              <w:rPr>
                <w:sz w:val="16"/>
                <w:szCs w:val="16"/>
              </w:rPr>
              <w:t>(0.0</w:t>
            </w:r>
            <w:r w:rsidR="007A29CC">
              <w:rPr>
                <w:sz w:val="16"/>
                <w:szCs w:val="16"/>
              </w:rPr>
              <w:t>14</w:t>
            </w:r>
            <w:r>
              <w:rPr>
                <w:sz w:val="16"/>
                <w:szCs w:val="16"/>
              </w:rPr>
              <w:t>)</w:t>
            </w:r>
          </w:p>
        </w:tc>
        <w:tc>
          <w:tcPr>
            <w:tcW w:w="1571" w:type="dxa"/>
            <w:tcBorders>
              <w:left w:val="single" w:sz="4" w:space="0" w:color="auto"/>
            </w:tcBorders>
          </w:tcPr>
          <w:p w14:paraId="7EAFB595" w14:textId="3E0600AF" w:rsidR="00A94A10" w:rsidRDefault="00A94A10" w:rsidP="00BE68EC">
            <w:pPr>
              <w:jc w:val="center"/>
              <w:rPr>
                <w:sz w:val="16"/>
                <w:szCs w:val="16"/>
              </w:rPr>
            </w:pPr>
            <w:r>
              <w:rPr>
                <w:sz w:val="16"/>
                <w:szCs w:val="16"/>
              </w:rPr>
              <w:t>0.0</w:t>
            </w:r>
            <w:r w:rsidR="00C51905">
              <w:rPr>
                <w:sz w:val="16"/>
                <w:szCs w:val="16"/>
              </w:rPr>
              <w:t>49</w:t>
            </w:r>
            <w:r>
              <w:rPr>
                <w:sz w:val="16"/>
                <w:szCs w:val="16"/>
              </w:rPr>
              <w:t>**</w:t>
            </w:r>
          </w:p>
          <w:p w14:paraId="35D61A0D" w14:textId="62EB3CCD" w:rsidR="00A94A10" w:rsidRPr="00AE58C7" w:rsidRDefault="00A94A10" w:rsidP="00BE68EC">
            <w:pPr>
              <w:jc w:val="center"/>
              <w:rPr>
                <w:sz w:val="16"/>
                <w:szCs w:val="16"/>
              </w:rPr>
            </w:pPr>
            <w:r>
              <w:rPr>
                <w:sz w:val="16"/>
                <w:szCs w:val="16"/>
              </w:rPr>
              <w:t>(0.01</w:t>
            </w:r>
            <w:r w:rsidR="00C51905">
              <w:rPr>
                <w:sz w:val="16"/>
                <w:szCs w:val="16"/>
              </w:rPr>
              <w:t>5</w:t>
            </w:r>
            <w:r>
              <w:rPr>
                <w:sz w:val="16"/>
                <w:szCs w:val="16"/>
              </w:rPr>
              <w:t>)</w:t>
            </w:r>
          </w:p>
        </w:tc>
        <w:tc>
          <w:tcPr>
            <w:tcW w:w="1572" w:type="dxa"/>
          </w:tcPr>
          <w:p w14:paraId="71B2478D" w14:textId="453C538D" w:rsidR="00A94A10" w:rsidRDefault="00A94A10" w:rsidP="00BE68EC">
            <w:pPr>
              <w:jc w:val="center"/>
              <w:rPr>
                <w:sz w:val="16"/>
                <w:szCs w:val="16"/>
              </w:rPr>
            </w:pPr>
            <w:r>
              <w:rPr>
                <w:sz w:val="16"/>
                <w:szCs w:val="16"/>
              </w:rPr>
              <w:t>0.0</w:t>
            </w:r>
            <w:r w:rsidR="00206326">
              <w:rPr>
                <w:sz w:val="16"/>
                <w:szCs w:val="16"/>
              </w:rPr>
              <w:t>42*</w:t>
            </w:r>
            <w:r>
              <w:rPr>
                <w:sz w:val="16"/>
                <w:szCs w:val="16"/>
              </w:rPr>
              <w:t>*</w:t>
            </w:r>
          </w:p>
          <w:p w14:paraId="5F6FDC77" w14:textId="56B7E13D" w:rsidR="00A94A10" w:rsidRPr="00AE58C7" w:rsidRDefault="00A94A10" w:rsidP="00BE68EC">
            <w:pPr>
              <w:jc w:val="center"/>
              <w:rPr>
                <w:sz w:val="16"/>
                <w:szCs w:val="16"/>
              </w:rPr>
            </w:pPr>
            <w:r>
              <w:rPr>
                <w:sz w:val="16"/>
                <w:szCs w:val="16"/>
              </w:rPr>
              <w:t>(0.01</w:t>
            </w:r>
            <w:r w:rsidR="00503C0D">
              <w:rPr>
                <w:sz w:val="16"/>
                <w:szCs w:val="16"/>
              </w:rPr>
              <w:t>5</w:t>
            </w:r>
            <w:r>
              <w:rPr>
                <w:sz w:val="16"/>
                <w:szCs w:val="16"/>
              </w:rPr>
              <w:t>)</w:t>
            </w:r>
          </w:p>
        </w:tc>
      </w:tr>
      <w:tr w:rsidR="00A94A10" w:rsidRPr="00AE58C7" w14:paraId="76440F89" w14:textId="77777777" w:rsidTr="00BE68EC">
        <w:tc>
          <w:tcPr>
            <w:tcW w:w="2740" w:type="dxa"/>
            <w:vAlign w:val="center"/>
          </w:tcPr>
          <w:p w14:paraId="2C044C7D" w14:textId="77777777" w:rsidR="00A94A10" w:rsidRPr="00AE58C7" w:rsidRDefault="00A94A10" w:rsidP="00BE68EC">
            <w:pPr>
              <w:rPr>
                <w:b/>
                <w:bCs/>
                <w:sz w:val="16"/>
                <w:szCs w:val="16"/>
              </w:rPr>
            </w:pPr>
            <w:r w:rsidRPr="00AE58C7">
              <w:rPr>
                <w:sz w:val="16"/>
                <w:szCs w:val="16"/>
              </w:rPr>
              <w:t>Good health</w:t>
            </w:r>
          </w:p>
        </w:tc>
        <w:tc>
          <w:tcPr>
            <w:tcW w:w="1571" w:type="dxa"/>
            <w:vAlign w:val="center"/>
          </w:tcPr>
          <w:p w14:paraId="3BF71A52" w14:textId="2E29DDBE" w:rsidR="00A94A10" w:rsidRDefault="00A94A10" w:rsidP="00BE68EC">
            <w:pPr>
              <w:jc w:val="center"/>
              <w:rPr>
                <w:sz w:val="16"/>
                <w:szCs w:val="16"/>
              </w:rPr>
            </w:pPr>
            <w:r>
              <w:rPr>
                <w:sz w:val="16"/>
                <w:szCs w:val="16"/>
              </w:rPr>
              <w:t>-0.0</w:t>
            </w:r>
            <w:r w:rsidR="003745BB">
              <w:rPr>
                <w:sz w:val="16"/>
                <w:szCs w:val="16"/>
              </w:rPr>
              <w:t>91</w:t>
            </w:r>
            <w:r>
              <w:rPr>
                <w:sz w:val="16"/>
                <w:szCs w:val="16"/>
              </w:rPr>
              <w:t>***</w:t>
            </w:r>
          </w:p>
          <w:p w14:paraId="11B99D80" w14:textId="457F3BE0" w:rsidR="00A94A10" w:rsidRPr="00AE58C7" w:rsidRDefault="00A94A10" w:rsidP="00BE68EC">
            <w:pPr>
              <w:jc w:val="center"/>
              <w:rPr>
                <w:sz w:val="16"/>
                <w:szCs w:val="16"/>
              </w:rPr>
            </w:pPr>
            <w:r>
              <w:rPr>
                <w:sz w:val="16"/>
                <w:szCs w:val="16"/>
              </w:rPr>
              <w:t>(0.0</w:t>
            </w:r>
            <w:r w:rsidR="003745BB">
              <w:rPr>
                <w:sz w:val="16"/>
                <w:szCs w:val="16"/>
              </w:rPr>
              <w:t>13</w:t>
            </w:r>
            <w:r>
              <w:rPr>
                <w:sz w:val="16"/>
                <w:szCs w:val="16"/>
              </w:rPr>
              <w:t>)</w:t>
            </w:r>
          </w:p>
        </w:tc>
        <w:tc>
          <w:tcPr>
            <w:tcW w:w="1572" w:type="dxa"/>
            <w:gridSpan w:val="2"/>
            <w:tcBorders>
              <w:right w:val="single" w:sz="4" w:space="0" w:color="auto"/>
            </w:tcBorders>
            <w:vAlign w:val="center"/>
          </w:tcPr>
          <w:p w14:paraId="18DBE595" w14:textId="6BE27C3C" w:rsidR="00A94A10" w:rsidRDefault="00A94A10" w:rsidP="00BE68EC">
            <w:pPr>
              <w:jc w:val="center"/>
              <w:rPr>
                <w:sz w:val="16"/>
                <w:szCs w:val="16"/>
              </w:rPr>
            </w:pPr>
            <w:r>
              <w:rPr>
                <w:sz w:val="16"/>
                <w:szCs w:val="16"/>
              </w:rPr>
              <w:t>-0.0</w:t>
            </w:r>
            <w:r w:rsidR="00A016EB">
              <w:rPr>
                <w:sz w:val="16"/>
                <w:szCs w:val="16"/>
              </w:rPr>
              <w:t>84</w:t>
            </w:r>
            <w:r>
              <w:rPr>
                <w:sz w:val="16"/>
                <w:szCs w:val="16"/>
              </w:rPr>
              <w:t>***</w:t>
            </w:r>
          </w:p>
          <w:p w14:paraId="470353CE" w14:textId="521A444D" w:rsidR="00A94A10" w:rsidRPr="00AE58C7" w:rsidRDefault="00A94A10" w:rsidP="00BE68EC">
            <w:pPr>
              <w:jc w:val="center"/>
              <w:rPr>
                <w:sz w:val="16"/>
                <w:szCs w:val="16"/>
              </w:rPr>
            </w:pPr>
            <w:r>
              <w:rPr>
                <w:sz w:val="16"/>
                <w:szCs w:val="16"/>
              </w:rPr>
              <w:t>(0.0</w:t>
            </w:r>
            <w:r w:rsidR="00A016EB">
              <w:rPr>
                <w:sz w:val="16"/>
                <w:szCs w:val="16"/>
              </w:rPr>
              <w:t>12</w:t>
            </w:r>
            <w:r>
              <w:rPr>
                <w:sz w:val="16"/>
                <w:szCs w:val="16"/>
              </w:rPr>
              <w:t>)</w:t>
            </w:r>
          </w:p>
        </w:tc>
        <w:tc>
          <w:tcPr>
            <w:tcW w:w="1571" w:type="dxa"/>
            <w:tcBorders>
              <w:left w:val="single" w:sz="4" w:space="0" w:color="auto"/>
            </w:tcBorders>
          </w:tcPr>
          <w:p w14:paraId="65B2D508" w14:textId="3590D277" w:rsidR="00A94A10" w:rsidRDefault="00A94A10" w:rsidP="00BE68EC">
            <w:pPr>
              <w:jc w:val="center"/>
              <w:rPr>
                <w:sz w:val="16"/>
                <w:szCs w:val="16"/>
              </w:rPr>
            </w:pPr>
            <w:r>
              <w:rPr>
                <w:sz w:val="16"/>
                <w:szCs w:val="16"/>
              </w:rPr>
              <w:t>0.2</w:t>
            </w:r>
            <w:r w:rsidR="00C51905">
              <w:rPr>
                <w:sz w:val="16"/>
                <w:szCs w:val="16"/>
              </w:rPr>
              <w:t>50</w:t>
            </w:r>
            <w:r>
              <w:rPr>
                <w:sz w:val="16"/>
                <w:szCs w:val="16"/>
              </w:rPr>
              <w:t>***</w:t>
            </w:r>
          </w:p>
          <w:p w14:paraId="18A393E3" w14:textId="27FCDB19" w:rsidR="00A94A10" w:rsidRPr="00AE58C7" w:rsidRDefault="00A94A10" w:rsidP="00BE68EC">
            <w:pPr>
              <w:jc w:val="center"/>
              <w:rPr>
                <w:sz w:val="16"/>
                <w:szCs w:val="16"/>
              </w:rPr>
            </w:pPr>
            <w:r>
              <w:rPr>
                <w:sz w:val="16"/>
                <w:szCs w:val="16"/>
              </w:rPr>
              <w:t>(0.01</w:t>
            </w:r>
            <w:r w:rsidR="00C51905">
              <w:rPr>
                <w:sz w:val="16"/>
                <w:szCs w:val="16"/>
              </w:rPr>
              <w:t>5</w:t>
            </w:r>
            <w:r>
              <w:rPr>
                <w:sz w:val="16"/>
                <w:szCs w:val="16"/>
              </w:rPr>
              <w:t>)</w:t>
            </w:r>
          </w:p>
        </w:tc>
        <w:tc>
          <w:tcPr>
            <w:tcW w:w="1572" w:type="dxa"/>
          </w:tcPr>
          <w:p w14:paraId="566D283B" w14:textId="3C9319C1" w:rsidR="00A94A10" w:rsidRDefault="00A94A10" w:rsidP="00BE68EC">
            <w:pPr>
              <w:jc w:val="center"/>
              <w:rPr>
                <w:sz w:val="16"/>
                <w:szCs w:val="16"/>
              </w:rPr>
            </w:pPr>
            <w:r>
              <w:rPr>
                <w:sz w:val="16"/>
                <w:szCs w:val="16"/>
              </w:rPr>
              <w:t>0.2</w:t>
            </w:r>
            <w:r w:rsidR="00503C0D">
              <w:rPr>
                <w:sz w:val="16"/>
                <w:szCs w:val="16"/>
              </w:rPr>
              <w:t>39</w:t>
            </w:r>
            <w:r>
              <w:rPr>
                <w:sz w:val="16"/>
                <w:szCs w:val="16"/>
              </w:rPr>
              <w:t>***</w:t>
            </w:r>
          </w:p>
          <w:p w14:paraId="34AD4530" w14:textId="7BB7FE02" w:rsidR="00A94A10" w:rsidRPr="00AE58C7" w:rsidRDefault="00A94A10" w:rsidP="00BE68EC">
            <w:pPr>
              <w:jc w:val="center"/>
              <w:rPr>
                <w:sz w:val="16"/>
                <w:szCs w:val="16"/>
              </w:rPr>
            </w:pPr>
            <w:r>
              <w:rPr>
                <w:sz w:val="16"/>
                <w:szCs w:val="16"/>
              </w:rPr>
              <w:t>(0.01</w:t>
            </w:r>
            <w:r w:rsidR="00503C0D">
              <w:rPr>
                <w:sz w:val="16"/>
                <w:szCs w:val="16"/>
              </w:rPr>
              <w:t>5</w:t>
            </w:r>
            <w:r>
              <w:rPr>
                <w:sz w:val="16"/>
                <w:szCs w:val="16"/>
              </w:rPr>
              <w:t>)</w:t>
            </w:r>
          </w:p>
        </w:tc>
      </w:tr>
      <w:tr w:rsidR="00A94A10" w:rsidRPr="00AE58C7" w14:paraId="3A5E0F4F" w14:textId="77777777" w:rsidTr="00BE68EC">
        <w:tc>
          <w:tcPr>
            <w:tcW w:w="2740" w:type="dxa"/>
            <w:vAlign w:val="center"/>
          </w:tcPr>
          <w:p w14:paraId="2C14F774" w14:textId="77777777" w:rsidR="00A94A10" w:rsidRPr="00AE58C7" w:rsidRDefault="00A94A10" w:rsidP="00BE68EC">
            <w:pPr>
              <w:rPr>
                <w:b/>
                <w:bCs/>
                <w:sz w:val="16"/>
                <w:szCs w:val="16"/>
              </w:rPr>
            </w:pPr>
            <w:r w:rsidRPr="00AE58C7">
              <w:rPr>
                <w:sz w:val="16"/>
                <w:szCs w:val="16"/>
              </w:rPr>
              <w:t>Disability</w:t>
            </w:r>
          </w:p>
        </w:tc>
        <w:tc>
          <w:tcPr>
            <w:tcW w:w="1571" w:type="dxa"/>
            <w:vAlign w:val="center"/>
          </w:tcPr>
          <w:p w14:paraId="3B65DA35" w14:textId="0F45D1B8" w:rsidR="00A94A10" w:rsidRDefault="00A94A10" w:rsidP="00BE68EC">
            <w:pPr>
              <w:jc w:val="center"/>
              <w:rPr>
                <w:sz w:val="16"/>
                <w:szCs w:val="16"/>
              </w:rPr>
            </w:pPr>
            <w:r>
              <w:rPr>
                <w:sz w:val="16"/>
                <w:szCs w:val="16"/>
              </w:rPr>
              <w:t>0.0</w:t>
            </w:r>
            <w:r w:rsidR="008516A1">
              <w:rPr>
                <w:sz w:val="16"/>
                <w:szCs w:val="16"/>
              </w:rPr>
              <w:t>87</w:t>
            </w:r>
            <w:r>
              <w:rPr>
                <w:sz w:val="16"/>
                <w:szCs w:val="16"/>
              </w:rPr>
              <w:t>***</w:t>
            </w:r>
          </w:p>
          <w:p w14:paraId="4D70FE84" w14:textId="13899056" w:rsidR="00A94A10" w:rsidRPr="00AE58C7" w:rsidRDefault="00A94A10" w:rsidP="00BE68EC">
            <w:pPr>
              <w:jc w:val="center"/>
              <w:rPr>
                <w:sz w:val="16"/>
                <w:szCs w:val="16"/>
              </w:rPr>
            </w:pPr>
            <w:r>
              <w:rPr>
                <w:sz w:val="16"/>
                <w:szCs w:val="16"/>
              </w:rPr>
              <w:t>(0.0</w:t>
            </w:r>
            <w:r w:rsidR="008516A1">
              <w:rPr>
                <w:sz w:val="16"/>
                <w:szCs w:val="16"/>
              </w:rPr>
              <w:t>12</w:t>
            </w:r>
            <w:r>
              <w:rPr>
                <w:sz w:val="16"/>
                <w:szCs w:val="16"/>
              </w:rPr>
              <w:t>)</w:t>
            </w:r>
          </w:p>
        </w:tc>
        <w:tc>
          <w:tcPr>
            <w:tcW w:w="1572" w:type="dxa"/>
            <w:gridSpan w:val="2"/>
            <w:tcBorders>
              <w:right w:val="single" w:sz="4" w:space="0" w:color="auto"/>
            </w:tcBorders>
            <w:vAlign w:val="center"/>
          </w:tcPr>
          <w:p w14:paraId="02E0F0F0" w14:textId="297ECD5F" w:rsidR="00A94A10" w:rsidRDefault="00A94A10" w:rsidP="00BE68EC">
            <w:pPr>
              <w:jc w:val="center"/>
              <w:rPr>
                <w:sz w:val="16"/>
                <w:szCs w:val="16"/>
              </w:rPr>
            </w:pPr>
            <w:r>
              <w:rPr>
                <w:sz w:val="16"/>
                <w:szCs w:val="16"/>
              </w:rPr>
              <w:t>0.07</w:t>
            </w:r>
            <w:r w:rsidR="00A016EB">
              <w:rPr>
                <w:sz w:val="16"/>
                <w:szCs w:val="16"/>
              </w:rPr>
              <w:t>8</w:t>
            </w:r>
            <w:r>
              <w:rPr>
                <w:sz w:val="16"/>
                <w:szCs w:val="16"/>
              </w:rPr>
              <w:t>***</w:t>
            </w:r>
          </w:p>
          <w:p w14:paraId="0A87D8A5" w14:textId="74FBC035" w:rsidR="00A94A10" w:rsidRPr="00AE58C7" w:rsidRDefault="00A94A10" w:rsidP="00BE68EC">
            <w:pPr>
              <w:jc w:val="center"/>
              <w:rPr>
                <w:sz w:val="16"/>
                <w:szCs w:val="16"/>
              </w:rPr>
            </w:pPr>
            <w:r>
              <w:rPr>
                <w:sz w:val="16"/>
                <w:szCs w:val="16"/>
              </w:rPr>
              <w:t>(0.0</w:t>
            </w:r>
            <w:r w:rsidR="00A016EB">
              <w:rPr>
                <w:sz w:val="16"/>
                <w:szCs w:val="16"/>
              </w:rPr>
              <w:t>11</w:t>
            </w:r>
            <w:r>
              <w:rPr>
                <w:sz w:val="16"/>
                <w:szCs w:val="16"/>
              </w:rPr>
              <w:t>)</w:t>
            </w:r>
          </w:p>
        </w:tc>
        <w:tc>
          <w:tcPr>
            <w:tcW w:w="1571" w:type="dxa"/>
            <w:tcBorders>
              <w:left w:val="single" w:sz="4" w:space="0" w:color="auto"/>
            </w:tcBorders>
          </w:tcPr>
          <w:p w14:paraId="188EE0ED" w14:textId="4B87CB53" w:rsidR="00A94A10" w:rsidRDefault="00A94A10" w:rsidP="00BE68EC">
            <w:pPr>
              <w:jc w:val="center"/>
              <w:rPr>
                <w:sz w:val="16"/>
                <w:szCs w:val="16"/>
              </w:rPr>
            </w:pPr>
            <w:r>
              <w:rPr>
                <w:sz w:val="16"/>
                <w:szCs w:val="16"/>
              </w:rPr>
              <w:t>-0.0</w:t>
            </w:r>
            <w:r w:rsidR="001D5621">
              <w:rPr>
                <w:sz w:val="16"/>
                <w:szCs w:val="16"/>
              </w:rPr>
              <w:t>76</w:t>
            </w:r>
            <w:r>
              <w:rPr>
                <w:sz w:val="16"/>
                <w:szCs w:val="16"/>
              </w:rPr>
              <w:t>***</w:t>
            </w:r>
          </w:p>
          <w:p w14:paraId="3C57AA4C" w14:textId="17108E18" w:rsidR="00A94A10" w:rsidRPr="00AE58C7" w:rsidRDefault="00A94A10" w:rsidP="00BE68EC">
            <w:pPr>
              <w:jc w:val="center"/>
              <w:rPr>
                <w:sz w:val="16"/>
                <w:szCs w:val="16"/>
              </w:rPr>
            </w:pPr>
            <w:r>
              <w:rPr>
                <w:sz w:val="16"/>
                <w:szCs w:val="16"/>
              </w:rPr>
              <w:t>(0.0</w:t>
            </w:r>
            <w:r w:rsidR="001D5621">
              <w:rPr>
                <w:sz w:val="16"/>
                <w:szCs w:val="16"/>
              </w:rPr>
              <w:t>12</w:t>
            </w:r>
            <w:r>
              <w:rPr>
                <w:sz w:val="16"/>
                <w:szCs w:val="16"/>
              </w:rPr>
              <w:t>)</w:t>
            </w:r>
          </w:p>
        </w:tc>
        <w:tc>
          <w:tcPr>
            <w:tcW w:w="1572" w:type="dxa"/>
          </w:tcPr>
          <w:p w14:paraId="0A2CF7C6" w14:textId="648E831A" w:rsidR="00A94A10" w:rsidRDefault="00A94A10" w:rsidP="00BE68EC">
            <w:pPr>
              <w:jc w:val="center"/>
              <w:rPr>
                <w:sz w:val="16"/>
                <w:szCs w:val="16"/>
              </w:rPr>
            </w:pPr>
            <w:r>
              <w:rPr>
                <w:sz w:val="16"/>
                <w:szCs w:val="16"/>
              </w:rPr>
              <w:t>-0.06</w:t>
            </w:r>
            <w:r w:rsidR="00503C0D">
              <w:rPr>
                <w:sz w:val="16"/>
                <w:szCs w:val="16"/>
              </w:rPr>
              <w:t>9</w:t>
            </w:r>
            <w:r>
              <w:rPr>
                <w:sz w:val="16"/>
                <w:szCs w:val="16"/>
              </w:rPr>
              <w:t>***</w:t>
            </w:r>
          </w:p>
          <w:p w14:paraId="7A2A0DBD" w14:textId="3E7DE077" w:rsidR="00A94A10" w:rsidRPr="00AE58C7" w:rsidRDefault="00A94A10" w:rsidP="00BE68EC">
            <w:pPr>
              <w:jc w:val="center"/>
              <w:rPr>
                <w:sz w:val="16"/>
                <w:szCs w:val="16"/>
              </w:rPr>
            </w:pPr>
            <w:r>
              <w:rPr>
                <w:sz w:val="16"/>
                <w:szCs w:val="16"/>
              </w:rPr>
              <w:t>(0.0</w:t>
            </w:r>
            <w:r w:rsidR="00503C0D">
              <w:rPr>
                <w:sz w:val="16"/>
                <w:szCs w:val="16"/>
              </w:rPr>
              <w:t>11</w:t>
            </w:r>
            <w:r>
              <w:rPr>
                <w:sz w:val="16"/>
                <w:szCs w:val="16"/>
              </w:rPr>
              <w:t>)</w:t>
            </w:r>
          </w:p>
        </w:tc>
      </w:tr>
      <w:tr w:rsidR="00A94A10" w:rsidRPr="00AE58C7" w14:paraId="4E6A718E" w14:textId="77777777" w:rsidTr="00BE68EC">
        <w:tc>
          <w:tcPr>
            <w:tcW w:w="2740" w:type="dxa"/>
            <w:vAlign w:val="center"/>
          </w:tcPr>
          <w:p w14:paraId="457E2915" w14:textId="77777777" w:rsidR="00A94A10" w:rsidRPr="00AE58C7" w:rsidRDefault="00A94A10" w:rsidP="00BE68EC">
            <w:pPr>
              <w:rPr>
                <w:b/>
                <w:bCs/>
                <w:sz w:val="16"/>
                <w:szCs w:val="16"/>
              </w:rPr>
            </w:pPr>
            <w:r w:rsidRPr="00AE58C7">
              <w:rPr>
                <w:sz w:val="16"/>
                <w:szCs w:val="16"/>
              </w:rPr>
              <w:t>Not born in Ireland</w:t>
            </w:r>
          </w:p>
        </w:tc>
        <w:tc>
          <w:tcPr>
            <w:tcW w:w="1571" w:type="dxa"/>
            <w:vAlign w:val="center"/>
          </w:tcPr>
          <w:p w14:paraId="13FAED3D" w14:textId="15EA53F1" w:rsidR="00A94A10" w:rsidRPr="00317121" w:rsidRDefault="00A94A10" w:rsidP="00BE68EC">
            <w:pPr>
              <w:jc w:val="center"/>
              <w:rPr>
                <w:sz w:val="16"/>
                <w:szCs w:val="16"/>
                <w:vertAlign w:val="superscript"/>
              </w:rPr>
            </w:pPr>
            <w:r>
              <w:rPr>
                <w:sz w:val="16"/>
                <w:szCs w:val="16"/>
              </w:rPr>
              <w:t>-0.01</w:t>
            </w:r>
            <w:r w:rsidR="008516A1">
              <w:rPr>
                <w:sz w:val="16"/>
                <w:szCs w:val="16"/>
              </w:rPr>
              <w:t>5</w:t>
            </w:r>
            <w:r>
              <w:rPr>
                <w:sz w:val="16"/>
                <w:szCs w:val="16"/>
                <w:vertAlign w:val="superscript"/>
              </w:rPr>
              <w:t>+</w:t>
            </w:r>
          </w:p>
          <w:p w14:paraId="1C6BF223" w14:textId="5D0C0AF6" w:rsidR="00A94A10" w:rsidRPr="00AE58C7" w:rsidRDefault="00A94A10" w:rsidP="00BE68EC">
            <w:pPr>
              <w:jc w:val="center"/>
              <w:rPr>
                <w:sz w:val="16"/>
                <w:szCs w:val="16"/>
              </w:rPr>
            </w:pPr>
            <w:r>
              <w:rPr>
                <w:sz w:val="16"/>
                <w:szCs w:val="16"/>
              </w:rPr>
              <w:t>(0.00</w:t>
            </w:r>
            <w:r w:rsidR="008516A1">
              <w:rPr>
                <w:sz w:val="16"/>
                <w:szCs w:val="16"/>
              </w:rPr>
              <w:t>8</w:t>
            </w:r>
            <w:r>
              <w:rPr>
                <w:sz w:val="16"/>
                <w:szCs w:val="16"/>
              </w:rPr>
              <w:t>)</w:t>
            </w:r>
          </w:p>
        </w:tc>
        <w:tc>
          <w:tcPr>
            <w:tcW w:w="1572" w:type="dxa"/>
            <w:gridSpan w:val="2"/>
            <w:tcBorders>
              <w:right w:val="single" w:sz="4" w:space="0" w:color="auto"/>
            </w:tcBorders>
            <w:vAlign w:val="center"/>
          </w:tcPr>
          <w:p w14:paraId="7434EC4C" w14:textId="2949FF11" w:rsidR="00A94A10" w:rsidRDefault="00A94A10" w:rsidP="00BE68EC">
            <w:pPr>
              <w:jc w:val="center"/>
              <w:rPr>
                <w:sz w:val="16"/>
                <w:szCs w:val="16"/>
              </w:rPr>
            </w:pPr>
            <w:r>
              <w:rPr>
                <w:sz w:val="16"/>
                <w:szCs w:val="16"/>
              </w:rPr>
              <w:t>-0.0</w:t>
            </w:r>
            <w:r w:rsidR="001E286F">
              <w:rPr>
                <w:sz w:val="16"/>
                <w:szCs w:val="16"/>
              </w:rPr>
              <w:t>10</w:t>
            </w:r>
          </w:p>
          <w:p w14:paraId="2D5A19AB" w14:textId="041A87AB" w:rsidR="00A94A10" w:rsidRPr="00AE58C7" w:rsidRDefault="00A94A10" w:rsidP="00BE68EC">
            <w:pPr>
              <w:jc w:val="center"/>
              <w:rPr>
                <w:sz w:val="16"/>
                <w:szCs w:val="16"/>
              </w:rPr>
            </w:pPr>
            <w:r>
              <w:rPr>
                <w:sz w:val="16"/>
                <w:szCs w:val="16"/>
              </w:rPr>
              <w:t>(0.00</w:t>
            </w:r>
            <w:r w:rsidR="001E286F">
              <w:rPr>
                <w:sz w:val="16"/>
                <w:szCs w:val="16"/>
              </w:rPr>
              <w:t>8</w:t>
            </w:r>
            <w:r>
              <w:rPr>
                <w:sz w:val="16"/>
                <w:szCs w:val="16"/>
              </w:rPr>
              <w:t>)</w:t>
            </w:r>
          </w:p>
        </w:tc>
        <w:tc>
          <w:tcPr>
            <w:tcW w:w="1571" w:type="dxa"/>
            <w:tcBorders>
              <w:left w:val="single" w:sz="4" w:space="0" w:color="auto"/>
            </w:tcBorders>
          </w:tcPr>
          <w:p w14:paraId="74978AE9" w14:textId="3D8E71FA" w:rsidR="00A94A10" w:rsidRDefault="00A94A10" w:rsidP="00BE68EC">
            <w:pPr>
              <w:jc w:val="center"/>
              <w:rPr>
                <w:sz w:val="16"/>
                <w:szCs w:val="16"/>
              </w:rPr>
            </w:pPr>
            <w:r>
              <w:rPr>
                <w:sz w:val="16"/>
                <w:szCs w:val="16"/>
              </w:rPr>
              <w:t>0.00</w:t>
            </w:r>
            <w:r w:rsidR="001D5621">
              <w:rPr>
                <w:sz w:val="16"/>
                <w:szCs w:val="16"/>
              </w:rPr>
              <w:t>6</w:t>
            </w:r>
          </w:p>
          <w:p w14:paraId="74B90C05" w14:textId="1E458D61" w:rsidR="00A94A10" w:rsidRPr="00AE58C7" w:rsidRDefault="00A94A10" w:rsidP="00BE68EC">
            <w:pPr>
              <w:jc w:val="center"/>
              <w:rPr>
                <w:sz w:val="16"/>
                <w:szCs w:val="16"/>
              </w:rPr>
            </w:pPr>
            <w:r>
              <w:rPr>
                <w:sz w:val="16"/>
                <w:szCs w:val="16"/>
              </w:rPr>
              <w:t>(0.0</w:t>
            </w:r>
            <w:r w:rsidR="001D5621">
              <w:rPr>
                <w:sz w:val="16"/>
                <w:szCs w:val="16"/>
              </w:rPr>
              <w:t>10</w:t>
            </w:r>
            <w:r>
              <w:rPr>
                <w:sz w:val="16"/>
                <w:szCs w:val="16"/>
              </w:rPr>
              <w:t>)</w:t>
            </w:r>
          </w:p>
        </w:tc>
        <w:tc>
          <w:tcPr>
            <w:tcW w:w="1572" w:type="dxa"/>
          </w:tcPr>
          <w:p w14:paraId="7A0F13EC" w14:textId="4F28FD49" w:rsidR="00A94A10" w:rsidRDefault="00A94A10" w:rsidP="00BE68EC">
            <w:pPr>
              <w:jc w:val="center"/>
              <w:rPr>
                <w:sz w:val="16"/>
                <w:szCs w:val="16"/>
              </w:rPr>
            </w:pPr>
            <w:r>
              <w:rPr>
                <w:sz w:val="16"/>
                <w:szCs w:val="16"/>
              </w:rPr>
              <w:t>0.00</w:t>
            </w:r>
            <w:r w:rsidR="003A0AAF">
              <w:rPr>
                <w:sz w:val="16"/>
                <w:szCs w:val="16"/>
              </w:rPr>
              <w:t>4</w:t>
            </w:r>
          </w:p>
          <w:p w14:paraId="2F7C4B88" w14:textId="50613C49" w:rsidR="00A94A10" w:rsidRPr="00AE58C7" w:rsidRDefault="00A94A10" w:rsidP="00BE68EC">
            <w:pPr>
              <w:jc w:val="center"/>
              <w:rPr>
                <w:sz w:val="16"/>
                <w:szCs w:val="16"/>
              </w:rPr>
            </w:pPr>
            <w:r>
              <w:rPr>
                <w:sz w:val="16"/>
                <w:szCs w:val="16"/>
              </w:rPr>
              <w:t>(0.0</w:t>
            </w:r>
            <w:r w:rsidR="003A0AAF">
              <w:rPr>
                <w:sz w:val="16"/>
                <w:szCs w:val="16"/>
              </w:rPr>
              <w:t>10</w:t>
            </w:r>
            <w:r>
              <w:rPr>
                <w:sz w:val="16"/>
                <w:szCs w:val="16"/>
              </w:rPr>
              <w:t>)</w:t>
            </w:r>
          </w:p>
        </w:tc>
      </w:tr>
      <w:tr w:rsidR="00A94A10" w:rsidRPr="00AE58C7" w14:paraId="48E0167B" w14:textId="77777777" w:rsidTr="00BE68EC">
        <w:tc>
          <w:tcPr>
            <w:tcW w:w="2740" w:type="dxa"/>
            <w:vAlign w:val="center"/>
          </w:tcPr>
          <w:p w14:paraId="6493238F" w14:textId="77777777" w:rsidR="00A94A10" w:rsidRPr="00AE58C7" w:rsidRDefault="00A94A10" w:rsidP="00BE68EC">
            <w:pPr>
              <w:rPr>
                <w:sz w:val="16"/>
                <w:szCs w:val="16"/>
              </w:rPr>
            </w:pPr>
            <w:r w:rsidRPr="00AE58C7">
              <w:rPr>
                <w:i/>
                <w:iCs/>
                <w:sz w:val="16"/>
                <w:szCs w:val="16"/>
              </w:rPr>
              <w:t>Marital status (Ref: single)</w:t>
            </w:r>
          </w:p>
        </w:tc>
        <w:tc>
          <w:tcPr>
            <w:tcW w:w="1571" w:type="dxa"/>
            <w:vAlign w:val="center"/>
          </w:tcPr>
          <w:p w14:paraId="7BC81005" w14:textId="77777777" w:rsidR="00A94A10" w:rsidRPr="00AE58C7" w:rsidRDefault="00A94A10" w:rsidP="00BE68EC">
            <w:pPr>
              <w:jc w:val="center"/>
              <w:rPr>
                <w:sz w:val="16"/>
                <w:szCs w:val="16"/>
              </w:rPr>
            </w:pPr>
          </w:p>
        </w:tc>
        <w:tc>
          <w:tcPr>
            <w:tcW w:w="1572" w:type="dxa"/>
            <w:gridSpan w:val="2"/>
            <w:tcBorders>
              <w:right w:val="single" w:sz="4" w:space="0" w:color="auto"/>
            </w:tcBorders>
            <w:vAlign w:val="center"/>
          </w:tcPr>
          <w:p w14:paraId="451B7F4F" w14:textId="77777777" w:rsidR="00A94A10" w:rsidRPr="00AE58C7" w:rsidRDefault="00A94A10" w:rsidP="00BE68EC">
            <w:pPr>
              <w:jc w:val="center"/>
              <w:rPr>
                <w:sz w:val="16"/>
                <w:szCs w:val="16"/>
              </w:rPr>
            </w:pPr>
          </w:p>
        </w:tc>
        <w:tc>
          <w:tcPr>
            <w:tcW w:w="1571" w:type="dxa"/>
            <w:tcBorders>
              <w:left w:val="single" w:sz="4" w:space="0" w:color="auto"/>
            </w:tcBorders>
          </w:tcPr>
          <w:p w14:paraId="4AEFDE54" w14:textId="77777777" w:rsidR="00A94A10" w:rsidRDefault="00A94A10" w:rsidP="00BE68EC">
            <w:pPr>
              <w:jc w:val="center"/>
              <w:rPr>
                <w:sz w:val="16"/>
                <w:szCs w:val="16"/>
              </w:rPr>
            </w:pPr>
          </w:p>
        </w:tc>
        <w:tc>
          <w:tcPr>
            <w:tcW w:w="1572" w:type="dxa"/>
          </w:tcPr>
          <w:p w14:paraId="6F31142E" w14:textId="77777777" w:rsidR="00A94A10" w:rsidRDefault="00A94A10" w:rsidP="00BE68EC">
            <w:pPr>
              <w:jc w:val="center"/>
              <w:rPr>
                <w:sz w:val="16"/>
                <w:szCs w:val="16"/>
              </w:rPr>
            </w:pPr>
          </w:p>
        </w:tc>
      </w:tr>
      <w:tr w:rsidR="00A94A10" w:rsidRPr="00AE58C7" w14:paraId="177F4D26" w14:textId="77777777" w:rsidTr="00BE68EC">
        <w:tc>
          <w:tcPr>
            <w:tcW w:w="2740" w:type="dxa"/>
            <w:vAlign w:val="center"/>
          </w:tcPr>
          <w:p w14:paraId="57CB4A91" w14:textId="77777777" w:rsidR="00A94A10" w:rsidRPr="00AE58C7" w:rsidRDefault="00A94A10" w:rsidP="00BE68EC">
            <w:pPr>
              <w:rPr>
                <w:b/>
                <w:bCs/>
                <w:sz w:val="16"/>
                <w:szCs w:val="16"/>
              </w:rPr>
            </w:pPr>
            <w:r w:rsidRPr="00AE58C7">
              <w:rPr>
                <w:sz w:val="16"/>
                <w:szCs w:val="16"/>
              </w:rPr>
              <w:t xml:space="preserve"> Married/</w:t>
            </w:r>
            <w:r>
              <w:rPr>
                <w:sz w:val="16"/>
                <w:szCs w:val="16"/>
              </w:rPr>
              <w:t>c</w:t>
            </w:r>
            <w:r w:rsidRPr="00AE58C7">
              <w:rPr>
                <w:sz w:val="16"/>
                <w:szCs w:val="16"/>
              </w:rPr>
              <w:t>ivil partnership</w:t>
            </w:r>
          </w:p>
        </w:tc>
        <w:tc>
          <w:tcPr>
            <w:tcW w:w="1571" w:type="dxa"/>
            <w:vAlign w:val="center"/>
          </w:tcPr>
          <w:p w14:paraId="2CF88D5F" w14:textId="29681EEA" w:rsidR="00A94A10" w:rsidRDefault="00A94A10" w:rsidP="00BE68EC">
            <w:pPr>
              <w:jc w:val="center"/>
              <w:rPr>
                <w:sz w:val="16"/>
                <w:szCs w:val="16"/>
              </w:rPr>
            </w:pPr>
            <w:r>
              <w:rPr>
                <w:sz w:val="16"/>
                <w:szCs w:val="16"/>
              </w:rPr>
              <w:t>-0.03</w:t>
            </w:r>
            <w:r w:rsidR="00B63864">
              <w:rPr>
                <w:sz w:val="16"/>
                <w:szCs w:val="16"/>
              </w:rPr>
              <w:t>8</w:t>
            </w:r>
            <w:r>
              <w:rPr>
                <w:sz w:val="16"/>
                <w:szCs w:val="16"/>
              </w:rPr>
              <w:t>***</w:t>
            </w:r>
          </w:p>
          <w:p w14:paraId="5654302E" w14:textId="5911DF34" w:rsidR="00A94A10" w:rsidRPr="00AE58C7" w:rsidRDefault="00A94A10" w:rsidP="00BE68EC">
            <w:pPr>
              <w:jc w:val="center"/>
              <w:rPr>
                <w:sz w:val="16"/>
                <w:szCs w:val="16"/>
              </w:rPr>
            </w:pPr>
            <w:r>
              <w:rPr>
                <w:sz w:val="16"/>
                <w:szCs w:val="16"/>
              </w:rPr>
              <w:t>(0.00</w:t>
            </w:r>
            <w:r w:rsidR="00B63864">
              <w:rPr>
                <w:sz w:val="16"/>
                <w:szCs w:val="16"/>
              </w:rPr>
              <w:t>9</w:t>
            </w:r>
            <w:r>
              <w:rPr>
                <w:sz w:val="16"/>
                <w:szCs w:val="16"/>
              </w:rPr>
              <w:t>)</w:t>
            </w:r>
          </w:p>
        </w:tc>
        <w:tc>
          <w:tcPr>
            <w:tcW w:w="1572" w:type="dxa"/>
            <w:gridSpan w:val="2"/>
            <w:tcBorders>
              <w:right w:val="single" w:sz="4" w:space="0" w:color="auto"/>
            </w:tcBorders>
            <w:vAlign w:val="center"/>
          </w:tcPr>
          <w:p w14:paraId="76C9372A" w14:textId="3DF6ACBC" w:rsidR="00A94A10" w:rsidRDefault="00A94A10" w:rsidP="00BE68EC">
            <w:pPr>
              <w:jc w:val="center"/>
              <w:rPr>
                <w:sz w:val="16"/>
                <w:szCs w:val="16"/>
              </w:rPr>
            </w:pPr>
            <w:r>
              <w:rPr>
                <w:sz w:val="16"/>
                <w:szCs w:val="16"/>
              </w:rPr>
              <w:t>-0.0</w:t>
            </w:r>
            <w:r w:rsidR="001E286F">
              <w:rPr>
                <w:sz w:val="16"/>
                <w:szCs w:val="16"/>
              </w:rPr>
              <w:t>33</w:t>
            </w:r>
            <w:r>
              <w:rPr>
                <w:sz w:val="16"/>
                <w:szCs w:val="16"/>
              </w:rPr>
              <w:t>***</w:t>
            </w:r>
          </w:p>
          <w:p w14:paraId="20563A06" w14:textId="293B36BB" w:rsidR="00A94A10" w:rsidRPr="00AE58C7" w:rsidRDefault="00A94A10" w:rsidP="00BE68EC">
            <w:pPr>
              <w:jc w:val="center"/>
              <w:rPr>
                <w:sz w:val="16"/>
                <w:szCs w:val="16"/>
              </w:rPr>
            </w:pPr>
            <w:r>
              <w:rPr>
                <w:sz w:val="16"/>
                <w:szCs w:val="16"/>
              </w:rPr>
              <w:t>(0.00</w:t>
            </w:r>
            <w:r w:rsidR="001E286F">
              <w:rPr>
                <w:sz w:val="16"/>
                <w:szCs w:val="16"/>
              </w:rPr>
              <w:t>9</w:t>
            </w:r>
            <w:r>
              <w:rPr>
                <w:sz w:val="16"/>
                <w:szCs w:val="16"/>
              </w:rPr>
              <w:t>)</w:t>
            </w:r>
          </w:p>
        </w:tc>
        <w:tc>
          <w:tcPr>
            <w:tcW w:w="1571" w:type="dxa"/>
            <w:tcBorders>
              <w:left w:val="single" w:sz="4" w:space="0" w:color="auto"/>
            </w:tcBorders>
          </w:tcPr>
          <w:p w14:paraId="26FCC415" w14:textId="14294F10" w:rsidR="00A94A10" w:rsidRDefault="00A94A10" w:rsidP="00BE68EC">
            <w:pPr>
              <w:jc w:val="center"/>
              <w:rPr>
                <w:sz w:val="16"/>
                <w:szCs w:val="16"/>
              </w:rPr>
            </w:pPr>
            <w:r>
              <w:rPr>
                <w:sz w:val="16"/>
                <w:szCs w:val="16"/>
              </w:rPr>
              <w:t>0.04</w:t>
            </w:r>
            <w:r w:rsidR="00CB1A90">
              <w:rPr>
                <w:sz w:val="16"/>
                <w:szCs w:val="16"/>
              </w:rPr>
              <w:t>8</w:t>
            </w:r>
            <w:r>
              <w:rPr>
                <w:sz w:val="16"/>
                <w:szCs w:val="16"/>
              </w:rPr>
              <w:t>***</w:t>
            </w:r>
          </w:p>
          <w:p w14:paraId="49FB338B" w14:textId="6D8FD074" w:rsidR="00A94A10" w:rsidRPr="00AE58C7" w:rsidRDefault="00A94A10" w:rsidP="00BE68EC">
            <w:pPr>
              <w:jc w:val="center"/>
              <w:rPr>
                <w:sz w:val="16"/>
                <w:szCs w:val="16"/>
              </w:rPr>
            </w:pPr>
            <w:r>
              <w:rPr>
                <w:sz w:val="16"/>
                <w:szCs w:val="16"/>
              </w:rPr>
              <w:t>(0.0</w:t>
            </w:r>
            <w:r w:rsidR="00CB1A90">
              <w:rPr>
                <w:sz w:val="16"/>
                <w:szCs w:val="16"/>
              </w:rPr>
              <w:t>10</w:t>
            </w:r>
            <w:r>
              <w:rPr>
                <w:sz w:val="16"/>
                <w:szCs w:val="16"/>
              </w:rPr>
              <w:t>)</w:t>
            </w:r>
          </w:p>
        </w:tc>
        <w:tc>
          <w:tcPr>
            <w:tcW w:w="1572" w:type="dxa"/>
          </w:tcPr>
          <w:p w14:paraId="44F53423" w14:textId="25F186FD" w:rsidR="00A94A10" w:rsidRDefault="00A94A10" w:rsidP="00BE68EC">
            <w:pPr>
              <w:jc w:val="center"/>
              <w:rPr>
                <w:sz w:val="16"/>
                <w:szCs w:val="16"/>
              </w:rPr>
            </w:pPr>
            <w:r>
              <w:rPr>
                <w:sz w:val="16"/>
                <w:szCs w:val="16"/>
              </w:rPr>
              <w:t>0.04</w:t>
            </w:r>
            <w:r w:rsidR="003A0AAF">
              <w:rPr>
                <w:sz w:val="16"/>
                <w:szCs w:val="16"/>
              </w:rPr>
              <w:t>3</w:t>
            </w:r>
            <w:r>
              <w:rPr>
                <w:sz w:val="16"/>
                <w:szCs w:val="16"/>
              </w:rPr>
              <w:t>***</w:t>
            </w:r>
          </w:p>
          <w:p w14:paraId="0DDDF7FD" w14:textId="6FB14F13" w:rsidR="00A94A10" w:rsidRPr="00AE58C7" w:rsidRDefault="00A94A10" w:rsidP="00BE68EC">
            <w:pPr>
              <w:jc w:val="center"/>
              <w:rPr>
                <w:sz w:val="16"/>
                <w:szCs w:val="16"/>
              </w:rPr>
            </w:pPr>
            <w:r>
              <w:rPr>
                <w:sz w:val="16"/>
                <w:szCs w:val="16"/>
              </w:rPr>
              <w:t>(0.0</w:t>
            </w:r>
            <w:r w:rsidR="003A0AAF">
              <w:rPr>
                <w:sz w:val="16"/>
                <w:szCs w:val="16"/>
              </w:rPr>
              <w:t>10</w:t>
            </w:r>
            <w:r>
              <w:rPr>
                <w:sz w:val="16"/>
                <w:szCs w:val="16"/>
              </w:rPr>
              <w:t>)</w:t>
            </w:r>
          </w:p>
        </w:tc>
      </w:tr>
      <w:tr w:rsidR="00A94A10" w:rsidRPr="00AE58C7" w14:paraId="2BC2ADBA" w14:textId="77777777" w:rsidTr="00BE68EC">
        <w:tc>
          <w:tcPr>
            <w:tcW w:w="2740" w:type="dxa"/>
            <w:vAlign w:val="center"/>
          </w:tcPr>
          <w:p w14:paraId="09BF730A" w14:textId="77777777" w:rsidR="00A94A10" w:rsidRPr="00AE58C7" w:rsidRDefault="00A94A10" w:rsidP="00BE68EC">
            <w:pPr>
              <w:rPr>
                <w:b/>
                <w:bCs/>
                <w:sz w:val="16"/>
                <w:szCs w:val="16"/>
              </w:rPr>
            </w:pPr>
            <w:r w:rsidRPr="00AE58C7">
              <w:rPr>
                <w:sz w:val="16"/>
                <w:szCs w:val="16"/>
              </w:rPr>
              <w:t xml:space="preserve"> Separated/divorced</w:t>
            </w:r>
          </w:p>
        </w:tc>
        <w:tc>
          <w:tcPr>
            <w:tcW w:w="1571" w:type="dxa"/>
            <w:vAlign w:val="center"/>
          </w:tcPr>
          <w:p w14:paraId="10ACFE02" w14:textId="3C3E9D46" w:rsidR="00A94A10" w:rsidRDefault="00AB3001" w:rsidP="00BE68EC">
            <w:pPr>
              <w:jc w:val="center"/>
              <w:rPr>
                <w:sz w:val="16"/>
                <w:szCs w:val="16"/>
              </w:rPr>
            </w:pPr>
            <w:r>
              <w:rPr>
                <w:sz w:val="16"/>
                <w:szCs w:val="16"/>
              </w:rPr>
              <w:t>-</w:t>
            </w:r>
            <w:r w:rsidR="00A94A10">
              <w:rPr>
                <w:sz w:val="16"/>
                <w:szCs w:val="16"/>
              </w:rPr>
              <w:t>0.00</w:t>
            </w:r>
            <w:r>
              <w:rPr>
                <w:sz w:val="16"/>
                <w:szCs w:val="16"/>
              </w:rPr>
              <w:t>8</w:t>
            </w:r>
          </w:p>
          <w:p w14:paraId="57994F1E" w14:textId="102FAF8A" w:rsidR="00A94A10" w:rsidRPr="00AE58C7" w:rsidRDefault="00A94A10" w:rsidP="00BE68EC">
            <w:pPr>
              <w:jc w:val="center"/>
              <w:rPr>
                <w:sz w:val="16"/>
                <w:szCs w:val="16"/>
              </w:rPr>
            </w:pPr>
            <w:r>
              <w:rPr>
                <w:sz w:val="16"/>
                <w:szCs w:val="16"/>
              </w:rPr>
              <w:t>(0.01</w:t>
            </w:r>
            <w:r w:rsidR="00AB3001">
              <w:rPr>
                <w:sz w:val="16"/>
                <w:szCs w:val="16"/>
              </w:rPr>
              <w:t>6</w:t>
            </w:r>
            <w:r>
              <w:rPr>
                <w:sz w:val="16"/>
                <w:szCs w:val="16"/>
              </w:rPr>
              <w:t>)</w:t>
            </w:r>
          </w:p>
        </w:tc>
        <w:tc>
          <w:tcPr>
            <w:tcW w:w="1572" w:type="dxa"/>
            <w:gridSpan w:val="2"/>
            <w:tcBorders>
              <w:right w:val="single" w:sz="4" w:space="0" w:color="auto"/>
            </w:tcBorders>
            <w:vAlign w:val="center"/>
          </w:tcPr>
          <w:p w14:paraId="2F7D1B2D" w14:textId="6884BD1A" w:rsidR="00A94A10" w:rsidRDefault="00A94A10" w:rsidP="00BE68EC">
            <w:pPr>
              <w:jc w:val="center"/>
              <w:rPr>
                <w:sz w:val="16"/>
                <w:szCs w:val="16"/>
              </w:rPr>
            </w:pPr>
            <w:r>
              <w:rPr>
                <w:sz w:val="16"/>
                <w:szCs w:val="16"/>
              </w:rPr>
              <w:t>-0.00</w:t>
            </w:r>
            <w:r w:rsidR="001E286F">
              <w:rPr>
                <w:sz w:val="16"/>
                <w:szCs w:val="16"/>
              </w:rPr>
              <w:t>9</w:t>
            </w:r>
          </w:p>
          <w:p w14:paraId="6D8848B0" w14:textId="0330DD31" w:rsidR="00A94A10" w:rsidRPr="00AE58C7" w:rsidRDefault="00A94A10" w:rsidP="00BE68EC">
            <w:pPr>
              <w:jc w:val="center"/>
              <w:rPr>
                <w:sz w:val="16"/>
                <w:szCs w:val="16"/>
              </w:rPr>
            </w:pPr>
            <w:r>
              <w:rPr>
                <w:sz w:val="16"/>
                <w:szCs w:val="16"/>
              </w:rPr>
              <w:t>(0.01</w:t>
            </w:r>
            <w:r w:rsidR="001E286F">
              <w:rPr>
                <w:sz w:val="16"/>
                <w:szCs w:val="16"/>
              </w:rPr>
              <w:t>5</w:t>
            </w:r>
            <w:r>
              <w:rPr>
                <w:sz w:val="16"/>
                <w:szCs w:val="16"/>
              </w:rPr>
              <w:t>)</w:t>
            </w:r>
          </w:p>
        </w:tc>
        <w:tc>
          <w:tcPr>
            <w:tcW w:w="1571" w:type="dxa"/>
            <w:tcBorders>
              <w:left w:val="single" w:sz="4" w:space="0" w:color="auto"/>
            </w:tcBorders>
          </w:tcPr>
          <w:p w14:paraId="205982BF" w14:textId="1E11BDDB" w:rsidR="00A94A10" w:rsidRDefault="00A94A10" w:rsidP="00BE68EC">
            <w:pPr>
              <w:jc w:val="center"/>
              <w:rPr>
                <w:sz w:val="16"/>
                <w:szCs w:val="16"/>
              </w:rPr>
            </w:pPr>
            <w:r>
              <w:rPr>
                <w:sz w:val="16"/>
                <w:szCs w:val="16"/>
              </w:rPr>
              <w:t>-0.00</w:t>
            </w:r>
            <w:r w:rsidR="00AB3A12">
              <w:rPr>
                <w:sz w:val="16"/>
                <w:szCs w:val="16"/>
              </w:rPr>
              <w:t>08</w:t>
            </w:r>
          </w:p>
          <w:p w14:paraId="24F9A823" w14:textId="7566EE72" w:rsidR="00A94A10" w:rsidRPr="00AE58C7" w:rsidRDefault="00A94A10" w:rsidP="00BE68EC">
            <w:pPr>
              <w:jc w:val="center"/>
              <w:rPr>
                <w:sz w:val="16"/>
                <w:szCs w:val="16"/>
              </w:rPr>
            </w:pPr>
            <w:r>
              <w:rPr>
                <w:sz w:val="16"/>
                <w:szCs w:val="16"/>
              </w:rPr>
              <w:t>(0.01</w:t>
            </w:r>
            <w:r w:rsidR="00AB3A12">
              <w:rPr>
                <w:sz w:val="16"/>
                <w:szCs w:val="16"/>
              </w:rPr>
              <w:t>9</w:t>
            </w:r>
            <w:r>
              <w:rPr>
                <w:sz w:val="16"/>
                <w:szCs w:val="16"/>
              </w:rPr>
              <w:t>)</w:t>
            </w:r>
          </w:p>
        </w:tc>
        <w:tc>
          <w:tcPr>
            <w:tcW w:w="1572" w:type="dxa"/>
          </w:tcPr>
          <w:p w14:paraId="18B41CE3" w14:textId="25AB9DF0" w:rsidR="00A94A10" w:rsidRDefault="00A94A10" w:rsidP="00BE68EC">
            <w:pPr>
              <w:jc w:val="center"/>
              <w:rPr>
                <w:sz w:val="16"/>
                <w:szCs w:val="16"/>
              </w:rPr>
            </w:pPr>
            <w:r>
              <w:rPr>
                <w:sz w:val="16"/>
                <w:szCs w:val="16"/>
              </w:rPr>
              <w:t>0.00</w:t>
            </w:r>
            <w:r w:rsidR="00A2499E">
              <w:rPr>
                <w:sz w:val="16"/>
                <w:szCs w:val="16"/>
              </w:rPr>
              <w:t>1</w:t>
            </w:r>
          </w:p>
          <w:p w14:paraId="50C4DF98" w14:textId="2180325C" w:rsidR="00A94A10" w:rsidRPr="00AE58C7" w:rsidRDefault="00A94A10" w:rsidP="00BE68EC">
            <w:pPr>
              <w:jc w:val="center"/>
              <w:rPr>
                <w:sz w:val="16"/>
                <w:szCs w:val="16"/>
              </w:rPr>
            </w:pPr>
            <w:r>
              <w:rPr>
                <w:sz w:val="16"/>
                <w:szCs w:val="16"/>
              </w:rPr>
              <w:t>(0.01</w:t>
            </w:r>
            <w:r w:rsidR="00A2499E">
              <w:rPr>
                <w:sz w:val="16"/>
                <w:szCs w:val="16"/>
              </w:rPr>
              <w:t>8</w:t>
            </w:r>
            <w:r>
              <w:rPr>
                <w:sz w:val="16"/>
                <w:szCs w:val="16"/>
              </w:rPr>
              <w:t>)</w:t>
            </w:r>
          </w:p>
        </w:tc>
      </w:tr>
      <w:tr w:rsidR="00A94A10" w:rsidRPr="00AE58C7" w14:paraId="7A9B8326" w14:textId="77777777" w:rsidTr="00BE68EC">
        <w:tc>
          <w:tcPr>
            <w:tcW w:w="2740" w:type="dxa"/>
            <w:vAlign w:val="center"/>
          </w:tcPr>
          <w:p w14:paraId="668F7470" w14:textId="77777777" w:rsidR="00A94A10" w:rsidRPr="00AE58C7" w:rsidRDefault="00A94A10" w:rsidP="00BE68EC">
            <w:pPr>
              <w:rPr>
                <w:b/>
                <w:bCs/>
                <w:sz w:val="16"/>
                <w:szCs w:val="16"/>
              </w:rPr>
            </w:pPr>
            <w:r w:rsidRPr="00AE58C7">
              <w:rPr>
                <w:sz w:val="16"/>
                <w:szCs w:val="16"/>
              </w:rPr>
              <w:t xml:space="preserve"> Widowed</w:t>
            </w:r>
          </w:p>
        </w:tc>
        <w:tc>
          <w:tcPr>
            <w:tcW w:w="1571" w:type="dxa"/>
            <w:vAlign w:val="center"/>
          </w:tcPr>
          <w:p w14:paraId="2872CB8C" w14:textId="66CB58F3" w:rsidR="00A94A10" w:rsidRDefault="00A94A10" w:rsidP="00BE68EC">
            <w:pPr>
              <w:jc w:val="center"/>
              <w:rPr>
                <w:sz w:val="16"/>
                <w:szCs w:val="16"/>
              </w:rPr>
            </w:pPr>
            <w:r>
              <w:rPr>
                <w:sz w:val="16"/>
                <w:szCs w:val="16"/>
              </w:rPr>
              <w:t>-0.0</w:t>
            </w:r>
            <w:r w:rsidR="00AB3001">
              <w:rPr>
                <w:sz w:val="16"/>
                <w:szCs w:val="16"/>
              </w:rPr>
              <w:t>51</w:t>
            </w:r>
            <w:r>
              <w:rPr>
                <w:sz w:val="16"/>
                <w:szCs w:val="16"/>
              </w:rPr>
              <w:t>**</w:t>
            </w:r>
          </w:p>
          <w:p w14:paraId="56F7920D" w14:textId="4CC2B922" w:rsidR="00A94A10" w:rsidRPr="00AE58C7" w:rsidRDefault="00A94A10" w:rsidP="00BE68EC">
            <w:pPr>
              <w:jc w:val="center"/>
              <w:rPr>
                <w:sz w:val="16"/>
                <w:szCs w:val="16"/>
              </w:rPr>
            </w:pPr>
            <w:r>
              <w:rPr>
                <w:sz w:val="16"/>
                <w:szCs w:val="16"/>
              </w:rPr>
              <w:t>(0.01</w:t>
            </w:r>
            <w:r w:rsidR="00AB3001">
              <w:rPr>
                <w:sz w:val="16"/>
                <w:szCs w:val="16"/>
              </w:rPr>
              <w:t>9</w:t>
            </w:r>
            <w:r>
              <w:rPr>
                <w:sz w:val="16"/>
                <w:szCs w:val="16"/>
              </w:rPr>
              <w:t>)</w:t>
            </w:r>
          </w:p>
        </w:tc>
        <w:tc>
          <w:tcPr>
            <w:tcW w:w="1572" w:type="dxa"/>
            <w:gridSpan w:val="2"/>
            <w:tcBorders>
              <w:right w:val="single" w:sz="4" w:space="0" w:color="auto"/>
            </w:tcBorders>
            <w:vAlign w:val="center"/>
          </w:tcPr>
          <w:p w14:paraId="72AACE8B" w14:textId="637BE144" w:rsidR="00A94A10" w:rsidRDefault="00A94A10" w:rsidP="00BE68EC">
            <w:pPr>
              <w:jc w:val="center"/>
              <w:rPr>
                <w:sz w:val="16"/>
                <w:szCs w:val="16"/>
              </w:rPr>
            </w:pPr>
            <w:r>
              <w:rPr>
                <w:sz w:val="16"/>
                <w:szCs w:val="16"/>
              </w:rPr>
              <w:t>-0.0</w:t>
            </w:r>
            <w:r w:rsidR="001E286F">
              <w:rPr>
                <w:sz w:val="16"/>
                <w:szCs w:val="16"/>
              </w:rPr>
              <w:t>52</w:t>
            </w:r>
            <w:r>
              <w:rPr>
                <w:sz w:val="16"/>
                <w:szCs w:val="16"/>
              </w:rPr>
              <w:t>**</w:t>
            </w:r>
          </w:p>
          <w:p w14:paraId="1DC291D3" w14:textId="06D99027" w:rsidR="00A94A10" w:rsidRPr="00AE58C7" w:rsidRDefault="00A94A10" w:rsidP="00BE68EC">
            <w:pPr>
              <w:jc w:val="center"/>
              <w:rPr>
                <w:sz w:val="16"/>
                <w:szCs w:val="16"/>
              </w:rPr>
            </w:pPr>
            <w:r>
              <w:rPr>
                <w:sz w:val="16"/>
                <w:szCs w:val="16"/>
              </w:rPr>
              <w:t>(0.01</w:t>
            </w:r>
            <w:r w:rsidR="001E286F">
              <w:rPr>
                <w:sz w:val="16"/>
                <w:szCs w:val="16"/>
              </w:rPr>
              <w:t>8</w:t>
            </w:r>
            <w:r>
              <w:rPr>
                <w:sz w:val="16"/>
                <w:szCs w:val="16"/>
              </w:rPr>
              <w:t>)</w:t>
            </w:r>
          </w:p>
        </w:tc>
        <w:tc>
          <w:tcPr>
            <w:tcW w:w="1571" w:type="dxa"/>
            <w:tcBorders>
              <w:left w:val="single" w:sz="4" w:space="0" w:color="auto"/>
            </w:tcBorders>
          </w:tcPr>
          <w:p w14:paraId="4C6111B6" w14:textId="60FDEB74" w:rsidR="00A94A10" w:rsidRDefault="00AB3A12" w:rsidP="00BE68EC">
            <w:pPr>
              <w:jc w:val="center"/>
              <w:rPr>
                <w:sz w:val="16"/>
                <w:szCs w:val="16"/>
              </w:rPr>
            </w:pPr>
            <w:r>
              <w:rPr>
                <w:sz w:val="16"/>
                <w:szCs w:val="16"/>
              </w:rPr>
              <w:t>-</w:t>
            </w:r>
            <w:r w:rsidR="00A94A10">
              <w:rPr>
                <w:sz w:val="16"/>
                <w:szCs w:val="16"/>
              </w:rPr>
              <w:t>0.00</w:t>
            </w:r>
            <w:r w:rsidR="002B51A7">
              <w:rPr>
                <w:sz w:val="16"/>
                <w:szCs w:val="16"/>
              </w:rPr>
              <w:t>1</w:t>
            </w:r>
          </w:p>
          <w:p w14:paraId="42F14696" w14:textId="68A094C1" w:rsidR="00A94A10" w:rsidRPr="00AE58C7" w:rsidRDefault="00A94A10" w:rsidP="00BE68EC">
            <w:pPr>
              <w:jc w:val="center"/>
              <w:rPr>
                <w:sz w:val="16"/>
                <w:szCs w:val="16"/>
              </w:rPr>
            </w:pPr>
            <w:r>
              <w:rPr>
                <w:sz w:val="16"/>
                <w:szCs w:val="16"/>
              </w:rPr>
              <w:t>(0.02</w:t>
            </w:r>
            <w:r w:rsidR="002B51A7">
              <w:rPr>
                <w:sz w:val="16"/>
                <w:szCs w:val="16"/>
              </w:rPr>
              <w:t>4</w:t>
            </w:r>
            <w:r>
              <w:rPr>
                <w:sz w:val="16"/>
                <w:szCs w:val="16"/>
              </w:rPr>
              <w:t>)</w:t>
            </w:r>
          </w:p>
        </w:tc>
        <w:tc>
          <w:tcPr>
            <w:tcW w:w="1572" w:type="dxa"/>
          </w:tcPr>
          <w:p w14:paraId="3D2DCFAB" w14:textId="24C74035" w:rsidR="00A94A10" w:rsidRDefault="00A94A10" w:rsidP="00BE68EC">
            <w:pPr>
              <w:jc w:val="center"/>
              <w:rPr>
                <w:sz w:val="16"/>
                <w:szCs w:val="16"/>
              </w:rPr>
            </w:pPr>
            <w:r>
              <w:rPr>
                <w:sz w:val="16"/>
                <w:szCs w:val="16"/>
              </w:rPr>
              <w:t>0.0</w:t>
            </w:r>
            <w:r w:rsidR="00A2499E">
              <w:rPr>
                <w:sz w:val="16"/>
                <w:szCs w:val="16"/>
              </w:rPr>
              <w:t>0</w:t>
            </w:r>
            <w:r>
              <w:rPr>
                <w:sz w:val="16"/>
                <w:szCs w:val="16"/>
              </w:rPr>
              <w:t>2</w:t>
            </w:r>
          </w:p>
          <w:p w14:paraId="2184B188" w14:textId="41ADF22F" w:rsidR="00A94A10" w:rsidRPr="00AE58C7" w:rsidRDefault="00A94A10" w:rsidP="00BE68EC">
            <w:pPr>
              <w:jc w:val="center"/>
              <w:rPr>
                <w:sz w:val="16"/>
                <w:szCs w:val="16"/>
              </w:rPr>
            </w:pPr>
            <w:r>
              <w:rPr>
                <w:sz w:val="16"/>
                <w:szCs w:val="16"/>
              </w:rPr>
              <w:t>(0.02</w:t>
            </w:r>
            <w:r w:rsidR="00A2499E">
              <w:rPr>
                <w:sz w:val="16"/>
                <w:szCs w:val="16"/>
              </w:rPr>
              <w:t>3</w:t>
            </w:r>
            <w:r>
              <w:rPr>
                <w:sz w:val="16"/>
                <w:szCs w:val="16"/>
              </w:rPr>
              <w:t>)</w:t>
            </w:r>
          </w:p>
        </w:tc>
      </w:tr>
      <w:tr w:rsidR="00A94A10" w:rsidRPr="00AE58C7" w14:paraId="018C7110" w14:textId="77777777" w:rsidTr="00BE68EC">
        <w:tc>
          <w:tcPr>
            <w:tcW w:w="2740" w:type="dxa"/>
            <w:vAlign w:val="center"/>
          </w:tcPr>
          <w:p w14:paraId="3B03335A" w14:textId="77777777" w:rsidR="00A94A10" w:rsidRPr="00AE58C7" w:rsidRDefault="00A94A10" w:rsidP="00BE68EC">
            <w:pPr>
              <w:rPr>
                <w:b/>
                <w:bCs/>
                <w:sz w:val="16"/>
                <w:szCs w:val="16"/>
              </w:rPr>
            </w:pPr>
            <w:r w:rsidRPr="00AE58C7">
              <w:rPr>
                <w:sz w:val="16"/>
                <w:szCs w:val="16"/>
              </w:rPr>
              <w:t>Has children under 18</w:t>
            </w:r>
          </w:p>
        </w:tc>
        <w:tc>
          <w:tcPr>
            <w:tcW w:w="1571" w:type="dxa"/>
            <w:vAlign w:val="center"/>
          </w:tcPr>
          <w:p w14:paraId="04D5E8ED" w14:textId="77777777" w:rsidR="00A94A10" w:rsidRDefault="00A94A10" w:rsidP="00BE68EC">
            <w:pPr>
              <w:jc w:val="center"/>
              <w:rPr>
                <w:sz w:val="16"/>
                <w:szCs w:val="16"/>
              </w:rPr>
            </w:pPr>
            <w:r>
              <w:rPr>
                <w:sz w:val="16"/>
                <w:szCs w:val="16"/>
              </w:rPr>
              <w:t>-0.008</w:t>
            </w:r>
          </w:p>
          <w:p w14:paraId="1D558EC9" w14:textId="2430FF7B" w:rsidR="00A94A10" w:rsidRPr="00AE58C7" w:rsidRDefault="00A94A10" w:rsidP="00BE68EC">
            <w:pPr>
              <w:jc w:val="center"/>
              <w:rPr>
                <w:sz w:val="16"/>
                <w:szCs w:val="16"/>
              </w:rPr>
            </w:pPr>
            <w:r>
              <w:rPr>
                <w:sz w:val="16"/>
                <w:szCs w:val="16"/>
              </w:rPr>
              <w:t>(0.00</w:t>
            </w:r>
            <w:r w:rsidR="00584AB3">
              <w:rPr>
                <w:sz w:val="16"/>
                <w:szCs w:val="16"/>
              </w:rPr>
              <w:t>9</w:t>
            </w:r>
            <w:r>
              <w:rPr>
                <w:sz w:val="16"/>
                <w:szCs w:val="16"/>
              </w:rPr>
              <w:t>)</w:t>
            </w:r>
          </w:p>
        </w:tc>
        <w:tc>
          <w:tcPr>
            <w:tcW w:w="1572" w:type="dxa"/>
            <w:gridSpan w:val="2"/>
            <w:tcBorders>
              <w:right w:val="single" w:sz="4" w:space="0" w:color="auto"/>
            </w:tcBorders>
            <w:vAlign w:val="center"/>
          </w:tcPr>
          <w:p w14:paraId="765381D1" w14:textId="77777777" w:rsidR="00A94A10" w:rsidRDefault="00A94A10" w:rsidP="00BE68EC">
            <w:pPr>
              <w:jc w:val="center"/>
              <w:rPr>
                <w:sz w:val="16"/>
                <w:szCs w:val="16"/>
              </w:rPr>
            </w:pPr>
            <w:r>
              <w:rPr>
                <w:sz w:val="16"/>
                <w:szCs w:val="16"/>
              </w:rPr>
              <w:t>-0.005</w:t>
            </w:r>
          </w:p>
          <w:p w14:paraId="7CA83618" w14:textId="3698AE60" w:rsidR="00A94A10" w:rsidRPr="00AE58C7" w:rsidRDefault="00A94A10" w:rsidP="00BE68EC">
            <w:pPr>
              <w:jc w:val="center"/>
              <w:rPr>
                <w:sz w:val="16"/>
                <w:szCs w:val="16"/>
              </w:rPr>
            </w:pPr>
            <w:r>
              <w:rPr>
                <w:sz w:val="16"/>
                <w:szCs w:val="16"/>
              </w:rPr>
              <w:t>(0.00</w:t>
            </w:r>
            <w:r w:rsidR="00D0723F">
              <w:rPr>
                <w:sz w:val="16"/>
                <w:szCs w:val="16"/>
              </w:rPr>
              <w:t>9</w:t>
            </w:r>
            <w:r>
              <w:rPr>
                <w:sz w:val="16"/>
                <w:szCs w:val="16"/>
              </w:rPr>
              <w:t>)</w:t>
            </w:r>
          </w:p>
        </w:tc>
        <w:tc>
          <w:tcPr>
            <w:tcW w:w="1571" w:type="dxa"/>
            <w:tcBorders>
              <w:left w:val="single" w:sz="4" w:space="0" w:color="auto"/>
            </w:tcBorders>
          </w:tcPr>
          <w:p w14:paraId="5C302AA2" w14:textId="3B5B0D4F" w:rsidR="00A94A10" w:rsidRPr="00EF6717" w:rsidRDefault="00A94A10" w:rsidP="00BE68EC">
            <w:pPr>
              <w:jc w:val="center"/>
              <w:rPr>
                <w:sz w:val="16"/>
                <w:szCs w:val="16"/>
                <w:vertAlign w:val="superscript"/>
              </w:rPr>
            </w:pPr>
            <w:r>
              <w:rPr>
                <w:sz w:val="16"/>
                <w:szCs w:val="16"/>
              </w:rPr>
              <w:t>0.0</w:t>
            </w:r>
            <w:r w:rsidR="002B51A7">
              <w:rPr>
                <w:sz w:val="16"/>
                <w:szCs w:val="16"/>
              </w:rPr>
              <w:t>24*</w:t>
            </w:r>
          </w:p>
          <w:p w14:paraId="3EE062B1" w14:textId="23321426" w:rsidR="00A94A10" w:rsidRPr="00AE58C7" w:rsidRDefault="00A94A10" w:rsidP="00BE68EC">
            <w:pPr>
              <w:jc w:val="center"/>
              <w:rPr>
                <w:sz w:val="16"/>
                <w:szCs w:val="16"/>
              </w:rPr>
            </w:pPr>
            <w:r>
              <w:rPr>
                <w:sz w:val="16"/>
                <w:szCs w:val="16"/>
              </w:rPr>
              <w:t>(0.0</w:t>
            </w:r>
            <w:r w:rsidR="002B51A7">
              <w:rPr>
                <w:sz w:val="16"/>
                <w:szCs w:val="16"/>
              </w:rPr>
              <w:t>10</w:t>
            </w:r>
            <w:r>
              <w:rPr>
                <w:sz w:val="16"/>
                <w:szCs w:val="16"/>
              </w:rPr>
              <w:t>)</w:t>
            </w:r>
          </w:p>
        </w:tc>
        <w:tc>
          <w:tcPr>
            <w:tcW w:w="1572" w:type="dxa"/>
          </w:tcPr>
          <w:p w14:paraId="4136F1F9" w14:textId="5EBCF97E" w:rsidR="00A94A10" w:rsidRDefault="00A94A10" w:rsidP="00BE68EC">
            <w:pPr>
              <w:jc w:val="center"/>
              <w:rPr>
                <w:sz w:val="16"/>
                <w:szCs w:val="16"/>
              </w:rPr>
            </w:pPr>
            <w:r>
              <w:rPr>
                <w:sz w:val="16"/>
                <w:szCs w:val="16"/>
              </w:rPr>
              <w:t>0.0</w:t>
            </w:r>
            <w:r w:rsidR="00A2499E">
              <w:rPr>
                <w:sz w:val="16"/>
                <w:szCs w:val="16"/>
              </w:rPr>
              <w:t>21</w:t>
            </w:r>
          </w:p>
          <w:p w14:paraId="73EDB6D8" w14:textId="113ADC67" w:rsidR="00A94A10" w:rsidRPr="00AE58C7" w:rsidRDefault="00A94A10" w:rsidP="00BE68EC">
            <w:pPr>
              <w:jc w:val="center"/>
              <w:rPr>
                <w:sz w:val="16"/>
                <w:szCs w:val="16"/>
              </w:rPr>
            </w:pPr>
            <w:r>
              <w:rPr>
                <w:sz w:val="16"/>
                <w:szCs w:val="16"/>
              </w:rPr>
              <w:t>(0.0</w:t>
            </w:r>
            <w:r w:rsidR="00A2499E">
              <w:rPr>
                <w:sz w:val="16"/>
                <w:szCs w:val="16"/>
              </w:rPr>
              <w:t>10</w:t>
            </w:r>
            <w:r>
              <w:rPr>
                <w:sz w:val="16"/>
                <w:szCs w:val="16"/>
              </w:rPr>
              <w:t>)</w:t>
            </w:r>
          </w:p>
        </w:tc>
      </w:tr>
      <w:tr w:rsidR="00A94A10" w:rsidRPr="00AE58C7" w14:paraId="3C2BB01F" w14:textId="77777777" w:rsidTr="00BE68EC">
        <w:tc>
          <w:tcPr>
            <w:tcW w:w="2740" w:type="dxa"/>
            <w:vAlign w:val="center"/>
          </w:tcPr>
          <w:p w14:paraId="03DA1835" w14:textId="77777777" w:rsidR="00A94A10" w:rsidRPr="00AE58C7" w:rsidRDefault="00A94A10" w:rsidP="00BE68EC">
            <w:pPr>
              <w:rPr>
                <w:b/>
                <w:bCs/>
                <w:sz w:val="16"/>
                <w:szCs w:val="16"/>
              </w:rPr>
            </w:pPr>
            <w:r w:rsidRPr="00AE58C7">
              <w:rPr>
                <w:i/>
                <w:iCs/>
                <w:sz w:val="16"/>
                <w:szCs w:val="16"/>
              </w:rPr>
              <w:t>Employment status (Ref: working)</w:t>
            </w:r>
          </w:p>
        </w:tc>
        <w:tc>
          <w:tcPr>
            <w:tcW w:w="1571" w:type="dxa"/>
            <w:vAlign w:val="center"/>
          </w:tcPr>
          <w:p w14:paraId="60DF4EDE" w14:textId="77777777" w:rsidR="00A94A10" w:rsidRPr="00AE58C7" w:rsidRDefault="00A94A10" w:rsidP="00BE68EC">
            <w:pPr>
              <w:jc w:val="center"/>
              <w:rPr>
                <w:sz w:val="16"/>
                <w:szCs w:val="16"/>
              </w:rPr>
            </w:pPr>
          </w:p>
        </w:tc>
        <w:tc>
          <w:tcPr>
            <w:tcW w:w="1572" w:type="dxa"/>
            <w:gridSpan w:val="2"/>
            <w:tcBorders>
              <w:right w:val="single" w:sz="4" w:space="0" w:color="auto"/>
            </w:tcBorders>
            <w:vAlign w:val="center"/>
          </w:tcPr>
          <w:p w14:paraId="71E18706" w14:textId="77777777" w:rsidR="00A94A10" w:rsidRPr="00AE58C7" w:rsidRDefault="00A94A10" w:rsidP="00BE68EC">
            <w:pPr>
              <w:jc w:val="center"/>
              <w:rPr>
                <w:sz w:val="16"/>
                <w:szCs w:val="16"/>
              </w:rPr>
            </w:pPr>
          </w:p>
        </w:tc>
        <w:tc>
          <w:tcPr>
            <w:tcW w:w="1571" w:type="dxa"/>
            <w:tcBorders>
              <w:left w:val="single" w:sz="4" w:space="0" w:color="auto"/>
            </w:tcBorders>
          </w:tcPr>
          <w:p w14:paraId="7405F31A" w14:textId="77777777" w:rsidR="00A94A10" w:rsidRPr="00AE58C7" w:rsidRDefault="00A94A10" w:rsidP="00BE68EC">
            <w:pPr>
              <w:jc w:val="center"/>
              <w:rPr>
                <w:sz w:val="16"/>
                <w:szCs w:val="16"/>
              </w:rPr>
            </w:pPr>
          </w:p>
        </w:tc>
        <w:tc>
          <w:tcPr>
            <w:tcW w:w="1572" w:type="dxa"/>
          </w:tcPr>
          <w:p w14:paraId="234C2B73" w14:textId="77777777" w:rsidR="00A94A10" w:rsidRPr="00AE58C7" w:rsidRDefault="00A94A10" w:rsidP="00BE68EC">
            <w:pPr>
              <w:jc w:val="center"/>
              <w:rPr>
                <w:sz w:val="16"/>
                <w:szCs w:val="16"/>
              </w:rPr>
            </w:pPr>
          </w:p>
        </w:tc>
      </w:tr>
      <w:tr w:rsidR="00A94A10" w:rsidRPr="00AE58C7" w14:paraId="053167E5" w14:textId="77777777" w:rsidTr="00BE68EC">
        <w:tc>
          <w:tcPr>
            <w:tcW w:w="2740" w:type="dxa"/>
            <w:vAlign w:val="center"/>
          </w:tcPr>
          <w:p w14:paraId="73106AD4" w14:textId="77777777" w:rsidR="00A94A10" w:rsidRPr="00AE58C7" w:rsidRDefault="00A94A10" w:rsidP="00BE68EC">
            <w:pPr>
              <w:rPr>
                <w:b/>
                <w:bCs/>
                <w:sz w:val="16"/>
                <w:szCs w:val="16"/>
              </w:rPr>
            </w:pPr>
            <w:r w:rsidRPr="00AE58C7">
              <w:rPr>
                <w:sz w:val="16"/>
                <w:szCs w:val="16"/>
              </w:rPr>
              <w:t xml:space="preserve"> Unemployed</w:t>
            </w:r>
          </w:p>
        </w:tc>
        <w:tc>
          <w:tcPr>
            <w:tcW w:w="1571" w:type="dxa"/>
            <w:vAlign w:val="center"/>
          </w:tcPr>
          <w:p w14:paraId="57DF317D" w14:textId="6405CC84" w:rsidR="00A94A10" w:rsidRDefault="00A94A10" w:rsidP="00BE68EC">
            <w:pPr>
              <w:jc w:val="center"/>
              <w:rPr>
                <w:sz w:val="16"/>
                <w:szCs w:val="16"/>
              </w:rPr>
            </w:pPr>
            <w:r>
              <w:rPr>
                <w:sz w:val="16"/>
                <w:szCs w:val="16"/>
              </w:rPr>
              <w:t>0.0</w:t>
            </w:r>
            <w:r w:rsidR="00584AB3">
              <w:rPr>
                <w:sz w:val="16"/>
                <w:szCs w:val="16"/>
              </w:rPr>
              <w:t>66</w:t>
            </w:r>
            <w:r>
              <w:rPr>
                <w:sz w:val="16"/>
                <w:szCs w:val="16"/>
              </w:rPr>
              <w:t>***</w:t>
            </w:r>
          </w:p>
          <w:p w14:paraId="287A6699" w14:textId="0865D667" w:rsidR="00A94A10" w:rsidRPr="00AE58C7" w:rsidRDefault="00A94A10" w:rsidP="00BE68EC">
            <w:pPr>
              <w:jc w:val="center"/>
              <w:rPr>
                <w:sz w:val="16"/>
                <w:szCs w:val="16"/>
              </w:rPr>
            </w:pPr>
            <w:r>
              <w:rPr>
                <w:sz w:val="16"/>
                <w:szCs w:val="16"/>
              </w:rPr>
              <w:t>(0.0</w:t>
            </w:r>
            <w:r w:rsidR="00584AB3">
              <w:rPr>
                <w:sz w:val="16"/>
                <w:szCs w:val="16"/>
              </w:rPr>
              <w:t>15</w:t>
            </w:r>
            <w:r>
              <w:rPr>
                <w:sz w:val="16"/>
                <w:szCs w:val="16"/>
              </w:rPr>
              <w:t>)</w:t>
            </w:r>
          </w:p>
        </w:tc>
        <w:tc>
          <w:tcPr>
            <w:tcW w:w="1572" w:type="dxa"/>
            <w:gridSpan w:val="2"/>
            <w:tcBorders>
              <w:right w:val="single" w:sz="4" w:space="0" w:color="auto"/>
            </w:tcBorders>
            <w:vAlign w:val="center"/>
          </w:tcPr>
          <w:p w14:paraId="7ABEBB6B" w14:textId="2DE9EF1E" w:rsidR="00A94A10" w:rsidRDefault="00A94A10" w:rsidP="00BE68EC">
            <w:pPr>
              <w:jc w:val="center"/>
              <w:rPr>
                <w:sz w:val="16"/>
                <w:szCs w:val="16"/>
              </w:rPr>
            </w:pPr>
            <w:r>
              <w:rPr>
                <w:sz w:val="16"/>
                <w:szCs w:val="16"/>
              </w:rPr>
              <w:t>0.0</w:t>
            </w:r>
            <w:r w:rsidR="00D0723F">
              <w:rPr>
                <w:sz w:val="16"/>
                <w:szCs w:val="16"/>
              </w:rPr>
              <w:t>6</w:t>
            </w:r>
            <w:r w:rsidR="00A203E2">
              <w:rPr>
                <w:sz w:val="16"/>
                <w:szCs w:val="16"/>
              </w:rPr>
              <w:t>5</w:t>
            </w:r>
            <w:r>
              <w:rPr>
                <w:sz w:val="16"/>
                <w:szCs w:val="16"/>
              </w:rPr>
              <w:t>***</w:t>
            </w:r>
          </w:p>
          <w:p w14:paraId="0228EEC9" w14:textId="14A33A7C" w:rsidR="00A94A10" w:rsidRPr="00AE58C7" w:rsidRDefault="00A94A10" w:rsidP="00BE68EC">
            <w:pPr>
              <w:jc w:val="center"/>
              <w:rPr>
                <w:sz w:val="16"/>
                <w:szCs w:val="16"/>
              </w:rPr>
            </w:pPr>
            <w:r>
              <w:rPr>
                <w:sz w:val="16"/>
                <w:szCs w:val="16"/>
              </w:rPr>
              <w:t>(0.01</w:t>
            </w:r>
            <w:r w:rsidR="00A203E2">
              <w:rPr>
                <w:sz w:val="16"/>
                <w:szCs w:val="16"/>
              </w:rPr>
              <w:t>5</w:t>
            </w:r>
            <w:r>
              <w:rPr>
                <w:sz w:val="16"/>
                <w:szCs w:val="16"/>
              </w:rPr>
              <w:t>)</w:t>
            </w:r>
          </w:p>
        </w:tc>
        <w:tc>
          <w:tcPr>
            <w:tcW w:w="1571" w:type="dxa"/>
            <w:tcBorders>
              <w:left w:val="single" w:sz="4" w:space="0" w:color="auto"/>
            </w:tcBorders>
          </w:tcPr>
          <w:p w14:paraId="775D52AF" w14:textId="1FEB8BDD" w:rsidR="00A94A10" w:rsidRDefault="00A94A10" w:rsidP="00BE68EC">
            <w:pPr>
              <w:jc w:val="center"/>
              <w:rPr>
                <w:sz w:val="16"/>
                <w:szCs w:val="16"/>
              </w:rPr>
            </w:pPr>
            <w:r>
              <w:rPr>
                <w:sz w:val="16"/>
                <w:szCs w:val="16"/>
              </w:rPr>
              <w:t>-0.05</w:t>
            </w:r>
            <w:r w:rsidR="002B51A7">
              <w:rPr>
                <w:sz w:val="16"/>
                <w:szCs w:val="16"/>
              </w:rPr>
              <w:t>9</w:t>
            </w:r>
            <w:r>
              <w:rPr>
                <w:sz w:val="16"/>
                <w:szCs w:val="16"/>
              </w:rPr>
              <w:t>***</w:t>
            </w:r>
          </w:p>
          <w:p w14:paraId="5239F039" w14:textId="74DC7E0F" w:rsidR="00A94A10" w:rsidRPr="00AE58C7" w:rsidRDefault="00A94A10" w:rsidP="00BE68EC">
            <w:pPr>
              <w:jc w:val="center"/>
              <w:rPr>
                <w:sz w:val="16"/>
                <w:szCs w:val="16"/>
              </w:rPr>
            </w:pPr>
            <w:r>
              <w:rPr>
                <w:sz w:val="16"/>
                <w:szCs w:val="16"/>
              </w:rPr>
              <w:t>(0.01</w:t>
            </w:r>
            <w:r w:rsidR="002B51A7">
              <w:rPr>
                <w:sz w:val="16"/>
                <w:szCs w:val="16"/>
              </w:rPr>
              <w:t>6</w:t>
            </w:r>
            <w:r>
              <w:rPr>
                <w:sz w:val="16"/>
                <w:szCs w:val="16"/>
              </w:rPr>
              <w:t>)</w:t>
            </w:r>
          </w:p>
        </w:tc>
        <w:tc>
          <w:tcPr>
            <w:tcW w:w="1572" w:type="dxa"/>
          </w:tcPr>
          <w:p w14:paraId="13C193CD" w14:textId="6CD3A1B1" w:rsidR="00A94A10" w:rsidRDefault="00A94A10" w:rsidP="00BE68EC">
            <w:pPr>
              <w:jc w:val="center"/>
              <w:rPr>
                <w:sz w:val="16"/>
                <w:szCs w:val="16"/>
              </w:rPr>
            </w:pPr>
            <w:r>
              <w:rPr>
                <w:sz w:val="16"/>
                <w:szCs w:val="16"/>
              </w:rPr>
              <w:t>-0.0</w:t>
            </w:r>
            <w:r w:rsidR="00062820">
              <w:rPr>
                <w:sz w:val="16"/>
                <w:szCs w:val="16"/>
              </w:rPr>
              <w:t>57</w:t>
            </w:r>
            <w:r>
              <w:rPr>
                <w:sz w:val="16"/>
                <w:szCs w:val="16"/>
              </w:rPr>
              <w:t>*</w:t>
            </w:r>
            <w:r w:rsidR="00062820">
              <w:rPr>
                <w:sz w:val="16"/>
                <w:szCs w:val="16"/>
              </w:rPr>
              <w:t>*</w:t>
            </w:r>
            <w:r>
              <w:rPr>
                <w:sz w:val="16"/>
                <w:szCs w:val="16"/>
              </w:rPr>
              <w:t>*</w:t>
            </w:r>
          </w:p>
          <w:p w14:paraId="044FD1D4" w14:textId="5A7F9DBF" w:rsidR="00A94A10" w:rsidRPr="00AE58C7" w:rsidRDefault="00A94A10" w:rsidP="00BE68EC">
            <w:pPr>
              <w:jc w:val="center"/>
              <w:rPr>
                <w:sz w:val="16"/>
                <w:szCs w:val="16"/>
              </w:rPr>
            </w:pPr>
            <w:r>
              <w:rPr>
                <w:sz w:val="16"/>
                <w:szCs w:val="16"/>
              </w:rPr>
              <w:t>(0.01</w:t>
            </w:r>
            <w:r w:rsidR="00062820">
              <w:rPr>
                <w:sz w:val="16"/>
                <w:szCs w:val="16"/>
              </w:rPr>
              <w:t>6</w:t>
            </w:r>
            <w:r>
              <w:rPr>
                <w:sz w:val="16"/>
                <w:szCs w:val="16"/>
              </w:rPr>
              <w:t>)</w:t>
            </w:r>
          </w:p>
        </w:tc>
      </w:tr>
      <w:tr w:rsidR="00A94A10" w:rsidRPr="00AE58C7" w14:paraId="6B768919" w14:textId="77777777" w:rsidTr="00BE68EC">
        <w:tc>
          <w:tcPr>
            <w:tcW w:w="2740" w:type="dxa"/>
            <w:vAlign w:val="center"/>
          </w:tcPr>
          <w:p w14:paraId="536B604E" w14:textId="77777777" w:rsidR="00A94A10" w:rsidRPr="00AE58C7" w:rsidRDefault="00A94A10" w:rsidP="00BE68EC">
            <w:pPr>
              <w:rPr>
                <w:b/>
                <w:bCs/>
                <w:sz w:val="16"/>
                <w:szCs w:val="16"/>
              </w:rPr>
            </w:pPr>
            <w:r w:rsidRPr="00AE58C7">
              <w:rPr>
                <w:sz w:val="16"/>
                <w:szCs w:val="16"/>
              </w:rPr>
              <w:t xml:space="preserve"> Student</w:t>
            </w:r>
          </w:p>
        </w:tc>
        <w:tc>
          <w:tcPr>
            <w:tcW w:w="1571" w:type="dxa"/>
            <w:vAlign w:val="center"/>
          </w:tcPr>
          <w:p w14:paraId="595A7F4E" w14:textId="12E21D4E" w:rsidR="00A94A10" w:rsidRDefault="00A94A10" w:rsidP="00BE68EC">
            <w:pPr>
              <w:jc w:val="center"/>
              <w:rPr>
                <w:sz w:val="16"/>
                <w:szCs w:val="16"/>
              </w:rPr>
            </w:pPr>
            <w:r>
              <w:rPr>
                <w:sz w:val="16"/>
                <w:szCs w:val="16"/>
              </w:rPr>
              <w:t>0.02</w:t>
            </w:r>
            <w:r w:rsidR="00584AB3">
              <w:rPr>
                <w:sz w:val="16"/>
                <w:szCs w:val="16"/>
              </w:rPr>
              <w:t>3</w:t>
            </w:r>
          </w:p>
          <w:p w14:paraId="7FD2AD8C" w14:textId="79CB00CA" w:rsidR="00A94A10" w:rsidRPr="00AE58C7" w:rsidRDefault="00A94A10" w:rsidP="00BE68EC">
            <w:pPr>
              <w:jc w:val="center"/>
              <w:rPr>
                <w:sz w:val="16"/>
                <w:szCs w:val="16"/>
              </w:rPr>
            </w:pPr>
            <w:r>
              <w:rPr>
                <w:sz w:val="16"/>
                <w:szCs w:val="16"/>
              </w:rPr>
              <w:t>(0.01</w:t>
            </w:r>
            <w:r w:rsidR="00584AB3">
              <w:rPr>
                <w:sz w:val="16"/>
                <w:szCs w:val="16"/>
              </w:rPr>
              <w:t>9</w:t>
            </w:r>
            <w:r>
              <w:rPr>
                <w:sz w:val="16"/>
                <w:szCs w:val="16"/>
              </w:rPr>
              <w:t>)</w:t>
            </w:r>
          </w:p>
        </w:tc>
        <w:tc>
          <w:tcPr>
            <w:tcW w:w="1572" w:type="dxa"/>
            <w:gridSpan w:val="2"/>
            <w:tcBorders>
              <w:right w:val="single" w:sz="4" w:space="0" w:color="auto"/>
            </w:tcBorders>
            <w:vAlign w:val="center"/>
          </w:tcPr>
          <w:p w14:paraId="5058C85F" w14:textId="1767C101" w:rsidR="00A94A10" w:rsidRDefault="00A94A10" w:rsidP="00BE68EC">
            <w:pPr>
              <w:jc w:val="center"/>
              <w:rPr>
                <w:sz w:val="16"/>
                <w:szCs w:val="16"/>
              </w:rPr>
            </w:pPr>
            <w:r>
              <w:rPr>
                <w:sz w:val="16"/>
                <w:szCs w:val="16"/>
              </w:rPr>
              <w:t>0.02</w:t>
            </w:r>
            <w:r w:rsidR="00A203E2">
              <w:rPr>
                <w:sz w:val="16"/>
                <w:szCs w:val="16"/>
              </w:rPr>
              <w:t>9</w:t>
            </w:r>
          </w:p>
          <w:p w14:paraId="790BCFBB" w14:textId="5FF28AF5" w:rsidR="00A94A10" w:rsidRPr="00AE58C7" w:rsidRDefault="00A94A10" w:rsidP="00BE68EC">
            <w:pPr>
              <w:jc w:val="center"/>
              <w:rPr>
                <w:sz w:val="16"/>
                <w:szCs w:val="16"/>
              </w:rPr>
            </w:pPr>
            <w:r>
              <w:rPr>
                <w:sz w:val="16"/>
                <w:szCs w:val="16"/>
              </w:rPr>
              <w:t>(0.0</w:t>
            </w:r>
            <w:r w:rsidR="00A203E2">
              <w:rPr>
                <w:sz w:val="16"/>
                <w:szCs w:val="16"/>
              </w:rPr>
              <w:t>20</w:t>
            </w:r>
            <w:r>
              <w:rPr>
                <w:sz w:val="16"/>
                <w:szCs w:val="16"/>
              </w:rPr>
              <w:t>)</w:t>
            </w:r>
          </w:p>
        </w:tc>
        <w:tc>
          <w:tcPr>
            <w:tcW w:w="1571" w:type="dxa"/>
            <w:tcBorders>
              <w:left w:val="single" w:sz="4" w:space="0" w:color="auto"/>
            </w:tcBorders>
          </w:tcPr>
          <w:p w14:paraId="552D365D" w14:textId="6A8425B8" w:rsidR="00A94A10" w:rsidRDefault="00A94A10" w:rsidP="00BE68EC">
            <w:pPr>
              <w:jc w:val="center"/>
              <w:rPr>
                <w:sz w:val="16"/>
                <w:szCs w:val="16"/>
              </w:rPr>
            </w:pPr>
            <w:r>
              <w:rPr>
                <w:sz w:val="16"/>
                <w:szCs w:val="16"/>
              </w:rPr>
              <w:t>0.0</w:t>
            </w:r>
            <w:r w:rsidR="009057A9">
              <w:rPr>
                <w:sz w:val="16"/>
                <w:szCs w:val="16"/>
              </w:rPr>
              <w:t>10</w:t>
            </w:r>
          </w:p>
          <w:p w14:paraId="428B6A52" w14:textId="4AE6AF93" w:rsidR="00A94A10" w:rsidRPr="00AE58C7" w:rsidRDefault="00A94A10" w:rsidP="00BE68EC">
            <w:pPr>
              <w:jc w:val="center"/>
              <w:rPr>
                <w:sz w:val="16"/>
                <w:szCs w:val="16"/>
              </w:rPr>
            </w:pPr>
            <w:r>
              <w:rPr>
                <w:sz w:val="16"/>
                <w:szCs w:val="16"/>
              </w:rPr>
              <w:t>(0.02</w:t>
            </w:r>
            <w:r w:rsidR="009057A9">
              <w:rPr>
                <w:sz w:val="16"/>
                <w:szCs w:val="16"/>
              </w:rPr>
              <w:t>3</w:t>
            </w:r>
            <w:r>
              <w:rPr>
                <w:sz w:val="16"/>
                <w:szCs w:val="16"/>
              </w:rPr>
              <w:t>)</w:t>
            </w:r>
          </w:p>
        </w:tc>
        <w:tc>
          <w:tcPr>
            <w:tcW w:w="1572" w:type="dxa"/>
          </w:tcPr>
          <w:p w14:paraId="797AB223" w14:textId="2B136BA3" w:rsidR="00A94A10" w:rsidRDefault="00A94A10" w:rsidP="00BE68EC">
            <w:pPr>
              <w:jc w:val="center"/>
              <w:rPr>
                <w:sz w:val="16"/>
                <w:szCs w:val="16"/>
              </w:rPr>
            </w:pPr>
            <w:r>
              <w:rPr>
                <w:sz w:val="16"/>
                <w:szCs w:val="16"/>
              </w:rPr>
              <w:t>0.00</w:t>
            </w:r>
            <w:r w:rsidR="00062820">
              <w:rPr>
                <w:sz w:val="16"/>
                <w:szCs w:val="16"/>
              </w:rPr>
              <w:t>5</w:t>
            </w:r>
          </w:p>
          <w:p w14:paraId="7310ED8F" w14:textId="7C9881CF" w:rsidR="00A94A10" w:rsidRPr="00AE58C7" w:rsidRDefault="00A94A10" w:rsidP="00BE68EC">
            <w:pPr>
              <w:jc w:val="center"/>
              <w:rPr>
                <w:sz w:val="16"/>
                <w:szCs w:val="16"/>
              </w:rPr>
            </w:pPr>
            <w:r>
              <w:rPr>
                <w:sz w:val="16"/>
                <w:szCs w:val="16"/>
              </w:rPr>
              <w:t>(0.02</w:t>
            </w:r>
            <w:r w:rsidR="00062820">
              <w:rPr>
                <w:sz w:val="16"/>
                <w:szCs w:val="16"/>
              </w:rPr>
              <w:t>3</w:t>
            </w:r>
            <w:r>
              <w:rPr>
                <w:sz w:val="16"/>
                <w:szCs w:val="16"/>
              </w:rPr>
              <w:t>)</w:t>
            </w:r>
          </w:p>
        </w:tc>
      </w:tr>
      <w:tr w:rsidR="00A94A10" w:rsidRPr="00AE58C7" w14:paraId="4A255B36" w14:textId="77777777" w:rsidTr="00BE68EC">
        <w:tc>
          <w:tcPr>
            <w:tcW w:w="2740" w:type="dxa"/>
            <w:vAlign w:val="center"/>
          </w:tcPr>
          <w:p w14:paraId="3D76718E" w14:textId="77777777" w:rsidR="00A94A10" w:rsidRPr="00AE58C7" w:rsidRDefault="00A94A10" w:rsidP="00BE68EC">
            <w:pPr>
              <w:rPr>
                <w:b/>
                <w:bCs/>
                <w:sz w:val="16"/>
                <w:szCs w:val="16"/>
              </w:rPr>
            </w:pPr>
            <w:r w:rsidRPr="00AE58C7">
              <w:rPr>
                <w:sz w:val="16"/>
                <w:szCs w:val="16"/>
              </w:rPr>
              <w:t xml:space="preserve"> Retired</w:t>
            </w:r>
          </w:p>
        </w:tc>
        <w:tc>
          <w:tcPr>
            <w:tcW w:w="1571" w:type="dxa"/>
            <w:vAlign w:val="center"/>
          </w:tcPr>
          <w:p w14:paraId="03EF169A" w14:textId="74510A89" w:rsidR="00A94A10" w:rsidRDefault="00A94A10" w:rsidP="00BE68EC">
            <w:pPr>
              <w:jc w:val="center"/>
              <w:rPr>
                <w:sz w:val="16"/>
                <w:szCs w:val="16"/>
              </w:rPr>
            </w:pPr>
            <w:r>
              <w:rPr>
                <w:sz w:val="16"/>
                <w:szCs w:val="16"/>
              </w:rPr>
              <w:t>0.0</w:t>
            </w:r>
            <w:r w:rsidR="00584AB3">
              <w:rPr>
                <w:sz w:val="16"/>
                <w:szCs w:val="16"/>
              </w:rPr>
              <w:t>20</w:t>
            </w:r>
          </w:p>
          <w:p w14:paraId="0642C666" w14:textId="189B9933" w:rsidR="00A94A10" w:rsidRPr="00AE58C7" w:rsidRDefault="00A94A10" w:rsidP="00BE68EC">
            <w:pPr>
              <w:jc w:val="center"/>
              <w:rPr>
                <w:sz w:val="16"/>
                <w:szCs w:val="16"/>
              </w:rPr>
            </w:pPr>
            <w:r>
              <w:rPr>
                <w:sz w:val="16"/>
                <w:szCs w:val="16"/>
              </w:rPr>
              <w:t>(0.0</w:t>
            </w:r>
            <w:r w:rsidR="00584AB3">
              <w:rPr>
                <w:sz w:val="16"/>
                <w:szCs w:val="16"/>
              </w:rPr>
              <w:t>14</w:t>
            </w:r>
            <w:r>
              <w:rPr>
                <w:sz w:val="16"/>
                <w:szCs w:val="16"/>
              </w:rPr>
              <w:t>)</w:t>
            </w:r>
          </w:p>
        </w:tc>
        <w:tc>
          <w:tcPr>
            <w:tcW w:w="1572" w:type="dxa"/>
            <w:gridSpan w:val="2"/>
            <w:tcBorders>
              <w:right w:val="single" w:sz="4" w:space="0" w:color="auto"/>
            </w:tcBorders>
            <w:vAlign w:val="center"/>
          </w:tcPr>
          <w:p w14:paraId="4AC1F03A" w14:textId="68A0AB08" w:rsidR="00A94A10" w:rsidRDefault="00A94A10" w:rsidP="00BE68EC">
            <w:pPr>
              <w:jc w:val="center"/>
              <w:rPr>
                <w:sz w:val="16"/>
                <w:szCs w:val="16"/>
              </w:rPr>
            </w:pPr>
            <w:r>
              <w:rPr>
                <w:sz w:val="16"/>
                <w:szCs w:val="16"/>
              </w:rPr>
              <w:t>0.0</w:t>
            </w:r>
            <w:r w:rsidR="00A203E2">
              <w:rPr>
                <w:sz w:val="16"/>
                <w:szCs w:val="16"/>
              </w:rPr>
              <w:t>16</w:t>
            </w:r>
          </w:p>
          <w:p w14:paraId="0D29AB41" w14:textId="7669D82C" w:rsidR="00A94A10" w:rsidRPr="00AE58C7" w:rsidRDefault="00A94A10" w:rsidP="00BE68EC">
            <w:pPr>
              <w:jc w:val="center"/>
              <w:rPr>
                <w:sz w:val="16"/>
                <w:szCs w:val="16"/>
              </w:rPr>
            </w:pPr>
            <w:r>
              <w:rPr>
                <w:sz w:val="16"/>
                <w:szCs w:val="16"/>
              </w:rPr>
              <w:t>(0.0</w:t>
            </w:r>
            <w:r w:rsidR="00A203E2">
              <w:rPr>
                <w:sz w:val="16"/>
                <w:szCs w:val="16"/>
              </w:rPr>
              <w:t>13</w:t>
            </w:r>
            <w:r>
              <w:rPr>
                <w:sz w:val="16"/>
                <w:szCs w:val="16"/>
              </w:rPr>
              <w:t>)</w:t>
            </w:r>
          </w:p>
        </w:tc>
        <w:tc>
          <w:tcPr>
            <w:tcW w:w="1571" w:type="dxa"/>
            <w:tcBorders>
              <w:left w:val="single" w:sz="4" w:space="0" w:color="auto"/>
            </w:tcBorders>
          </w:tcPr>
          <w:p w14:paraId="129B8959" w14:textId="299F7B57" w:rsidR="00A94A10" w:rsidRDefault="00A94A10" w:rsidP="00BE68EC">
            <w:pPr>
              <w:jc w:val="center"/>
              <w:rPr>
                <w:sz w:val="16"/>
                <w:szCs w:val="16"/>
              </w:rPr>
            </w:pPr>
            <w:r>
              <w:rPr>
                <w:sz w:val="16"/>
                <w:szCs w:val="16"/>
              </w:rPr>
              <w:t>-0.0</w:t>
            </w:r>
            <w:r w:rsidR="009057A9">
              <w:rPr>
                <w:sz w:val="16"/>
                <w:szCs w:val="16"/>
              </w:rPr>
              <w:t>50</w:t>
            </w:r>
            <w:r>
              <w:rPr>
                <w:sz w:val="16"/>
                <w:szCs w:val="16"/>
              </w:rPr>
              <w:t>**</w:t>
            </w:r>
          </w:p>
          <w:p w14:paraId="73F0DFAA" w14:textId="7724EBCC" w:rsidR="00A94A10" w:rsidRPr="00AE58C7" w:rsidRDefault="00A94A10" w:rsidP="00BE68EC">
            <w:pPr>
              <w:jc w:val="center"/>
              <w:rPr>
                <w:sz w:val="16"/>
                <w:szCs w:val="16"/>
              </w:rPr>
            </w:pPr>
            <w:r>
              <w:rPr>
                <w:sz w:val="16"/>
                <w:szCs w:val="16"/>
              </w:rPr>
              <w:t>(0.01</w:t>
            </w:r>
            <w:r w:rsidR="009057A9">
              <w:rPr>
                <w:sz w:val="16"/>
                <w:szCs w:val="16"/>
              </w:rPr>
              <w:t>5</w:t>
            </w:r>
            <w:r>
              <w:rPr>
                <w:sz w:val="16"/>
                <w:szCs w:val="16"/>
              </w:rPr>
              <w:t>)</w:t>
            </w:r>
          </w:p>
        </w:tc>
        <w:tc>
          <w:tcPr>
            <w:tcW w:w="1572" w:type="dxa"/>
          </w:tcPr>
          <w:p w14:paraId="7AC16FC5" w14:textId="3A6A80AB" w:rsidR="00A94A10" w:rsidRDefault="00A94A10" w:rsidP="00BE68EC">
            <w:pPr>
              <w:jc w:val="center"/>
              <w:rPr>
                <w:sz w:val="16"/>
                <w:szCs w:val="16"/>
              </w:rPr>
            </w:pPr>
            <w:r>
              <w:rPr>
                <w:sz w:val="16"/>
                <w:szCs w:val="16"/>
              </w:rPr>
              <w:t>-0.0</w:t>
            </w:r>
            <w:r w:rsidR="0035559C">
              <w:rPr>
                <w:sz w:val="16"/>
                <w:szCs w:val="16"/>
              </w:rPr>
              <w:t>47**</w:t>
            </w:r>
          </w:p>
          <w:p w14:paraId="69E9D1E0" w14:textId="2D376FEC" w:rsidR="00A94A10" w:rsidRPr="00AE58C7" w:rsidRDefault="00A94A10" w:rsidP="00BE68EC">
            <w:pPr>
              <w:jc w:val="center"/>
              <w:rPr>
                <w:sz w:val="16"/>
                <w:szCs w:val="16"/>
              </w:rPr>
            </w:pPr>
            <w:r>
              <w:rPr>
                <w:sz w:val="16"/>
                <w:szCs w:val="16"/>
              </w:rPr>
              <w:t>(0.01</w:t>
            </w:r>
            <w:r w:rsidR="0035559C">
              <w:rPr>
                <w:sz w:val="16"/>
                <w:szCs w:val="16"/>
              </w:rPr>
              <w:t>4</w:t>
            </w:r>
            <w:r>
              <w:rPr>
                <w:sz w:val="16"/>
                <w:szCs w:val="16"/>
              </w:rPr>
              <w:t>)</w:t>
            </w:r>
          </w:p>
        </w:tc>
      </w:tr>
      <w:tr w:rsidR="00A94A10" w:rsidRPr="00AE58C7" w14:paraId="7EE2C4E3" w14:textId="77777777" w:rsidTr="00BE68EC">
        <w:tc>
          <w:tcPr>
            <w:tcW w:w="2740" w:type="dxa"/>
            <w:vAlign w:val="center"/>
          </w:tcPr>
          <w:p w14:paraId="1629027B" w14:textId="77777777" w:rsidR="00A94A10" w:rsidRPr="00AE58C7" w:rsidRDefault="00A94A10" w:rsidP="00BE68EC">
            <w:pPr>
              <w:rPr>
                <w:b/>
                <w:bCs/>
                <w:sz w:val="16"/>
                <w:szCs w:val="16"/>
              </w:rPr>
            </w:pPr>
            <w:r w:rsidRPr="00AE58C7">
              <w:rPr>
                <w:sz w:val="16"/>
                <w:szCs w:val="16"/>
              </w:rPr>
              <w:t xml:space="preserve"> Looking after the home/other</w:t>
            </w:r>
          </w:p>
        </w:tc>
        <w:tc>
          <w:tcPr>
            <w:tcW w:w="1571" w:type="dxa"/>
            <w:vAlign w:val="center"/>
          </w:tcPr>
          <w:p w14:paraId="3E50F6AF" w14:textId="21880F24" w:rsidR="00A94A10" w:rsidRDefault="00A94A10" w:rsidP="00BE68EC">
            <w:pPr>
              <w:jc w:val="center"/>
              <w:rPr>
                <w:sz w:val="16"/>
                <w:szCs w:val="16"/>
              </w:rPr>
            </w:pPr>
            <w:r>
              <w:rPr>
                <w:sz w:val="16"/>
                <w:szCs w:val="16"/>
              </w:rPr>
              <w:t>0.0</w:t>
            </w:r>
            <w:r w:rsidR="00584AB3">
              <w:rPr>
                <w:sz w:val="16"/>
                <w:szCs w:val="16"/>
              </w:rPr>
              <w:t>31</w:t>
            </w:r>
            <w:r>
              <w:rPr>
                <w:sz w:val="16"/>
                <w:szCs w:val="16"/>
              </w:rPr>
              <w:t>**</w:t>
            </w:r>
          </w:p>
          <w:p w14:paraId="431474C9" w14:textId="60F7E7E4" w:rsidR="00A94A10" w:rsidRPr="00AE58C7" w:rsidRDefault="00A94A10" w:rsidP="00BE68EC">
            <w:pPr>
              <w:jc w:val="center"/>
              <w:rPr>
                <w:sz w:val="16"/>
                <w:szCs w:val="16"/>
              </w:rPr>
            </w:pPr>
            <w:r>
              <w:rPr>
                <w:sz w:val="16"/>
                <w:szCs w:val="16"/>
              </w:rPr>
              <w:t>(0.</w:t>
            </w:r>
            <w:r w:rsidR="00623E9E">
              <w:rPr>
                <w:sz w:val="16"/>
                <w:szCs w:val="16"/>
              </w:rPr>
              <w:t>010</w:t>
            </w:r>
            <w:r>
              <w:rPr>
                <w:sz w:val="16"/>
                <w:szCs w:val="16"/>
              </w:rPr>
              <w:t>)</w:t>
            </w:r>
          </w:p>
        </w:tc>
        <w:tc>
          <w:tcPr>
            <w:tcW w:w="1572" w:type="dxa"/>
            <w:gridSpan w:val="2"/>
            <w:tcBorders>
              <w:right w:val="single" w:sz="4" w:space="0" w:color="auto"/>
            </w:tcBorders>
            <w:vAlign w:val="center"/>
          </w:tcPr>
          <w:p w14:paraId="02D11B5D" w14:textId="420FEDD0" w:rsidR="00A94A10" w:rsidRDefault="00A94A10" w:rsidP="00BE68EC">
            <w:pPr>
              <w:jc w:val="center"/>
              <w:rPr>
                <w:sz w:val="16"/>
                <w:szCs w:val="16"/>
              </w:rPr>
            </w:pPr>
            <w:r>
              <w:rPr>
                <w:sz w:val="16"/>
                <w:szCs w:val="16"/>
              </w:rPr>
              <w:t>0.0</w:t>
            </w:r>
            <w:r w:rsidR="00AD1634">
              <w:rPr>
                <w:sz w:val="16"/>
                <w:szCs w:val="16"/>
              </w:rPr>
              <w:t>31</w:t>
            </w:r>
            <w:r>
              <w:rPr>
                <w:sz w:val="16"/>
                <w:szCs w:val="16"/>
              </w:rPr>
              <w:t>**</w:t>
            </w:r>
          </w:p>
          <w:p w14:paraId="2B13782F" w14:textId="5B2EF911" w:rsidR="00A94A10" w:rsidRPr="00AE58C7" w:rsidRDefault="00A94A10" w:rsidP="00BE68EC">
            <w:pPr>
              <w:jc w:val="center"/>
              <w:rPr>
                <w:sz w:val="16"/>
                <w:szCs w:val="16"/>
              </w:rPr>
            </w:pPr>
            <w:r>
              <w:rPr>
                <w:sz w:val="16"/>
                <w:szCs w:val="16"/>
              </w:rPr>
              <w:t>(0.0</w:t>
            </w:r>
            <w:r w:rsidR="00AD1634">
              <w:rPr>
                <w:sz w:val="16"/>
                <w:szCs w:val="16"/>
              </w:rPr>
              <w:t>10</w:t>
            </w:r>
            <w:r>
              <w:rPr>
                <w:sz w:val="16"/>
                <w:szCs w:val="16"/>
              </w:rPr>
              <w:t>)</w:t>
            </w:r>
          </w:p>
        </w:tc>
        <w:tc>
          <w:tcPr>
            <w:tcW w:w="1571" w:type="dxa"/>
            <w:tcBorders>
              <w:left w:val="single" w:sz="4" w:space="0" w:color="auto"/>
            </w:tcBorders>
          </w:tcPr>
          <w:p w14:paraId="24F65BCD" w14:textId="154602EA" w:rsidR="00A94A10" w:rsidRDefault="00A94A10" w:rsidP="00BE68EC">
            <w:pPr>
              <w:jc w:val="center"/>
              <w:rPr>
                <w:sz w:val="16"/>
                <w:szCs w:val="16"/>
              </w:rPr>
            </w:pPr>
            <w:r>
              <w:rPr>
                <w:sz w:val="16"/>
                <w:szCs w:val="16"/>
              </w:rPr>
              <w:t>-0.0</w:t>
            </w:r>
            <w:r w:rsidR="009057A9">
              <w:rPr>
                <w:sz w:val="16"/>
                <w:szCs w:val="16"/>
              </w:rPr>
              <w:t>57</w:t>
            </w:r>
            <w:r>
              <w:rPr>
                <w:sz w:val="16"/>
                <w:szCs w:val="16"/>
              </w:rPr>
              <w:t>***</w:t>
            </w:r>
          </w:p>
          <w:p w14:paraId="1A2C7ED9" w14:textId="2417A32B" w:rsidR="00A94A10" w:rsidRPr="00AE58C7" w:rsidRDefault="00A94A10" w:rsidP="00BE68EC">
            <w:pPr>
              <w:jc w:val="center"/>
              <w:rPr>
                <w:sz w:val="16"/>
                <w:szCs w:val="16"/>
              </w:rPr>
            </w:pPr>
            <w:r>
              <w:rPr>
                <w:sz w:val="16"/>
                <w:szCs w:val="16"/>
              </w:rPr>
              <w:t>(0.0</w:t>
            </w:r>
            <w:r w:rsidR="009057A9">
              <w:rPr>
                <w:sz w:val="16"/>
                <w:szCs w:val="16"/>
              </w:rPr>
              <w:t>12</w:t>
            </w:r>
            <w:r>
              <w:rPr>
                <w:sz w:val="16"/>
                <w:szCs w:val="16"/>
              </w:rPr>
              <w:t>)</w:t>
            </w:r>
          </w:p>
        </w:tc>
        <w:tc>
          <w:tcPr>
            <w:tcW w:w="1572" w:type="dxa"/>
          </w:tcPr>
          <w:p w14:paraId="380B073A" w14:textId="18D1179A" w:rsidR="00A94A10" w:rsidRDefault="00A94A10" w:rsidP="00BE68EC">
            <w:pPr>
              <w:jc w:val="center"/>
              <w:rPr>
                <w:sz w:val="16"/>
                <w:szCs w:val="16"/>
              </w:rPr>
            </w:pPr>
            <w:r>
              <w:rPr>
                <w:sz w:val="16"/>
                <w:szCs w:val="16"/>
              </w:rPr>
              <w:t>-0.0</w:t>
            </w:r>
            <w:r w:rsidR="0035559C">
              <w:rPr>
                <w:sz w:val="16"/>
                <w:szCs w:val="16"/>
              </w:rPr>
              <w:t>56***</w:t>
            </w:r>
          </w:p>
          <w:p w14:paraId="1A20FEFC" w14:textId="14D0B69D" w:rsidR="00A94A10" w:rsidRPr="00AE58C7" w:rsidRDefault="00A94A10" w:rsidP="00BE68EC">
            <w:pPr>
              <w:jc w:val="center"/>
              <w:rPr>
                <w:sz w:val="16"/>
                <w:szCs w:val="16"/>
              </w:rPr>
            </w:pPr>
            <w:r>
              <w:rPr>
                <w:sz w:val="16"/>
                <w:szCs w:val="16"/>
              </w:rPr>
              <w:t>(0.0</w:t>
            </w:r>
            <w:r w:rsidR="0035559C">
              <w:rPr>
                <w:sz w:val="16"/>
                <w:szCs w:val="16"/>
              </w:rPr>
              <w:t>12</w:t>
            </w:r>
            <w:r>
              <w:rPr>
                <w:sz w:val="16"/>
                <w:szCs w:val="16"/>
              </w:rPr>
              <w:t>)</w:t>
            </w:r>
          </w:p>
        </w:tc>
      </w:tr>
      <w:tr w:rsidR="00A94A10" w:rsidRPr="00AE58C7" w14:paraId="47CE056B" w14:textId="77777777" w:rsidTr="00BE68EC">
        <w:tc>
          <w:tcPr>
            <w:tcW w:w="2740" w:type="dxa"/>
            <w:vAlign w:val="center"/>
          </w:tcPr>
          <w:p w14:paraId="5CA83345" w14:textId="77777777" w:rsidR="00A94A10" w:rsidRPr="00AE58C7" w:rsidRDefault="00A94A10" w:rsidP="00BE68EC">
            <w:pPr>
              <w:rPr>
                <w:b/>
                <w:bCs/>
                <w:sz w:val="16"/>
                <w:szCs w:val="16"/>
              </w:rPr>
            </w:pPr>
            <w:r w:rsidRPr="00AE58C7">
              <w:rPr>
                <w:i/>
                <w:iCs/>
                <w:sz w:val="16"/>
                <w:szCs w:val="16"/>
              </w:rPr>
              <w:t>Region (Ref: Dublin)</w:t>
            </w:r>
          </w:p>
        </w:tc>
        <w:tc>
          <w:tcPr>
            <w:tcW w:w="1571" w:type="dxa"/>
            <w:vAlign w:val="center"/>
          </w:tcPr>
          <w:p w14:paraId="3BC3D32E" w14:textId="77777777" w:rsidR="00A94A10" w:rsidRPr="00AE58C7" w:rsidRDefault="00A94A10" w:rsidP="00BE68EC">
            <w:pPr>
              <w:jc w:val="center"/>
              <w:rPr>
                <w:sz w:val="16"/>
                <w:szCs w:val="16"/>
              </w:rPr>
            </w:pPr>
          </w:p>
        </w:tc>
        <w:tc>
          <w:tcPr>
            <w:tcW w:w="1572" w:type="dxa"/>
            <w:gridSpan w:val="2"/>
            <w:tcBorders>
              <w:right w:val="single" w:sz="4" w:space="0" w:color="auto"/>
            </w:tcBorders>
            <w:vAlign w:val="center"/>
          </w:tcPr>
          <w:p w14:paraId="628961E0" w14:textId="77777777" w:rsidR="00A94A10" w:rsidRPr="00AE58C7" w:rsidRDefault="00A94A10" w:rsidP="00BE68EC">
            <w:pPr>
              <w:jc w:val="center"/>
              <w:rPr>
                <w:sz w:val="16"/>
                <w:szCs w:val="16"/>
              </w:rPr>
            </w:pPr>
          </w:p>
        </w:tc>
        <w:tc>
          <w:tcPr>
            <w:tcW w:w="1571" w:type="dxa"/>
            <w:tcBorders>
              <w:left w:val="single" w:sz="4" w:space="0" w:color="auto"/>
            </w:tcBorders>
          </w:tcPr>
          <w:p w14:paraId="4B7CCA3B" w14:textId="77777777" w:rsidR="00A94A10" w:rsidRPr="00AE58C7" w:rsidRDefault="00A94A10" w:rsidP="00BE68EC">
            <w:pPr>
              <w:jc w:val="center"/>
              <w:rPr>
                <w:sz w:val="16"/>
                <w:szCs w:val="16"/>
              </w:rPr>
            </w:pPr>
          </w:p>
        </w:tc>
        <w:tc>
          <w:tcPr>
            <w:tcW w:w="1572" w:type="dxa"/>
          </w:tcPr>
          <w:p w14:paraId="0D671CF1" w14:textId="77777777" w:rsidR="00A94A10" w:rsidRPr="00AE58C7" w:rsidRDefault="00A94A10" w:rsidP="00BE68EC">
            <w:pPr>
              <w:jc w:val="center"/>
              <w:rPr>
                <w:sz w:val="16"/>
                <w:szCs w:val="16"/>
              </w:rPr>
            </w:pPr>
          </w:p>
        </w:tc>
      </w:tr>
      <w:tr w:rsidR="00A94A10" w:rsidRPr="00AE58C7" w14:paraId="71995531" w14:textId="77777777" w:rsidTr="00BE68EC">
        <w:tc>
          <w:tcPr>
            <w:tcW w:w="2740" w:type="dxa"/>
            <w:vAlign w:val="center"/>
          </w:tcPr>
          <w:p w14:paraId="45B2B8BB" w14:textId="77777777" w:rsidR="00A94A10" w:rsidRPr="00AE58C7" w:rsidRDefault="00A94A10" w:rsidP="00BE68EC">
            <w:pPr>
              <w:rPr>
                <w:b/>
                <w:bCs/>
                <w:sz w:val="16"/>
                <w:szCs w:val="16"/>
              </w:rPr>
            </w:pPr>
            <w:r w:rsidRPr="00AE58C7">
              <w:rPr>
                <w:sz w:val="16"/>
                <w:szCs w:val="16"/>
              </w:rPr>
              <w:t xml:space="preserve"> Rest of Leinster</w:t>
            </w:r>
          </w:p>
        </w:tc>
        <w:tc>
          <w:tcPr>
            <w:tcW w:w="1571" w:type="dxa"/>
            <w:vAlign w:val="center"/>
          </w:tcPr>
          <w:p w14:paraId="7465B61F" w14:textId="437C98E9" w:rsidR="00A94A10" w:rsidRDefault="00A94A10" w:rsidP="00BE68EC">
            <w:pPr>
              <w:jc w:val="center"/>
              <w:rPr>
                <w:sz w:val="16"/>
                <w:szCs w:val="16"/>
              </w:rPr>
            </w:pPr>
            <w:r>
              <w:rPr>
                <w:sz w:val="16"/>
                <w:szCs w:val="16"/>
              </w:rPr>
              <w:t>-0.02</w:t>
            </w:r>
            <w:r w:rsidR="00623E9E">
              <w:rPr>
                <w:sz w:val="16"/>
                <w:szCs w:val="16"/>
              </w:rPr>
              <w:t>7</w:t>
            </w:r>
            <w:r>
              <w:rPr>
                <w:sz w:val="16"/>
                <w:szCs w:val="16"/>
              </w:rPr>
              <w:t>**</w:t>
            </w:r>
          </w:p>
          <w:p w14:paraId="7D08BB71" w14:textId="6480FD26" w:rsidR="00A94A10" w:rsidRPr="00AE58C7" w:rsidRDefault="00A94A10" w:rsidP="00BE68EC">
            <w:pPr>
              <w:jc w:val="center"/>
              <w:rPr>
                <w:sz w:val="16"/>
                <w:szCs w:val="16"/>
              </w:rPr>
            </w:pPr>
            <w:r>
              <w:rPr>
                <w:sz w:val="16"/>
                <w:szCs w:val="16"/>
              </w:rPr>
              <w:t>(0.00</w:t>
            </w:r>
            <w:r w:rsidR="00623E9E">
              <w:rPr>
                <w:sz w:val="16"/>
                <w:szCs w:val="16"/>
              </w:rPr>
              <w:t>9</w:t>
            </w:r>
            <w:r>
              <w:rPr>
                <w:sz w:val="16"/>
                <w:szCs w:val="16"/>
              </w:rPr>
              <w:t>)</w:t>
            </w:r>
          </w:p>
        </w:tc>
        <w:tc>
          <w:tcPr>
            <w:tcW w:w="1572" w:type="dxa"/>
            <w:gridSpan w:val="2"/>
            <w:tcBorders>
              <w:right w:val="single" w:sz="4" w:space="0" w:color="auto"/>
            </w:tcBorders>
            <w:vAlign w:val="center"/>
          </w:tcPr>
          <w:p w14:paraId="530BEBBD" w14:textId="156845B4" w:rsidR="00A94A10" w:rsidRDefault="00A94A10" w:rsidP="00BE68EC">
            <w:pPr>
              <w:jc w:val="center"/>
              <w:rPr>
                <w:sz w:val="16"/>
                <w:szCs w:val="16"/>
              </w:rPr>
            </w:pPr>
            <w:r>
              <w:rPr>
                <w:sz w:val="16"/>
                <w:szCs w:val="16"/>
              </w:rPr>
              <w:t>-0.02</w:t>
            </w:r>
            <w:r w:rsidR="00AD1634">
              <w:rPr>
                <w:sz w:val="16"/>
                <w:szCs w:val="16"/>
              </w:rPr>
              <w:t>3</w:t>
            </w:r>
            <w:r>
              <w:rPr>
                <w:sz w:val="16"/>
                <w:szCs w:val="16"/>
              </w:rPr>
              <w:t>*</w:t>
            </w:r>
          </w:p>
          <w:p w14:paraId="0B5F9E16" w14:textId="1E5EE127" w:rsidR="00A94A10" w:rsidRPr="00AE58C7" w:rsidRDefault="00A94A10" w:rsidP="00BE68EC">
            <w:pPr>
              <w:jc w:val="center"/>
              <w:rPr>
                <w:sz w:val="16"/>
                <w:szCs w:val="16"/>
              </w:rPr>
            </w:pPr>
            <w:r>
              <w:rPr>
                <w:sz w:val="16"/>
                <w:szCs w:val="16"/>
              </w:rPr>
              <w:t>(0.00</w:t>
            </w:r>
            <w:r w:rsidR="00AD1634">
              <w:rPr>
                <w:sz w:val="16"/>
                <w:szCs w:val="16"/>
              </w:rPr>
              <w:t>9</w:t>
            </w:r>
            <w:r>
              <w:rPr>
                <w:sz w:val="16"/>
                <w:szCs w:val="16"/>
              </w:rPr>
              <w:t>)</w:t>
            </w:r>
          </w:p>
        </w:tc>
        <w:tc>
          <w:tcPr>
            <w:tcW w:w="1571" w:type="dxa"/>
            <w:tcBorders>
              <w:left w:val="single" w:sz="4" w:space="0" w:color="auto"/>
            </w:tcBorders>
          </w:tcPr>
          <w:p w14:paraId="6E405F19" w14:textId="7C23FFD2" w:rsidR="00A94A10" w:rsidRDefault="00A94A10" w:rsidP="00BE68EC">
            <w:pPr>
              <w:jc w:val="center"/>
              <w:rPr>
                <w:sz w:val="16"/>
                <w:szCs w:val="16"/>
              </w:rPr>
            </w:pPr>
            <w:r>
              <w:rPr>
                <w:sz w:val="16"/>
                <w:szCs w:val="16"/>
              </w:rPr>
              <w:t>0.00</w:t>
            </w:r>
            <w:r w:rsidR="00D053F9">
              <w:rPr>
                <w:sz w:val="16"/>
                <w:szCs w:val="16"/>
              </w:rPr>
              <w:t>2</w:t>
            </w:r>
          </w:p>
          <w:p w14:paraId="368D2942" w14:textId="47E23704" w:rsidR="00A94A10" w:rsidRPr="00E61D88" w:rsidRDefault="00A94A10" w:rsidP="00BE68EC">
            <w:pPr>
              <w:jc w:val="center"/>
              <w:rPr>
                <w:sz w:val="16"/>
                <w:szCs w:val="16"/>
              </w:rPr>
            </w:pPr>
            <w:r>
              <w:rPr>
                <w:sz w:val="16"/>
                <w:szCs w:val="16"/>
              </w:rPr>
              <w:t>(0.0</w:t>
            </w:r>
            <w:r w:rsidR="00D053F9">
              <w:rPr>
                <w:sz w:val="16"/>
                <w:szCs w:val="16"/>
              </w:rPr>
              <w:t>10</w:t>
            </w:r>
            <w:r>
              <w:rPr>
                <w:sz w:val="16"/>
                <w:szCs w:val="16"/>
              </w:rPr>
              <w:t>)</w:t>
            </w:r>
          </w:p>
        </w:tc>
        <w:tc>
          <w:tcPr>
            <w:tcW w:w="1572" w:type="dxa"/>
          </w:tcPr>
          <w:p w14:paraId="6074A776" w14:textId="456DECE9" w:rsidR="00A94A10" w:rsidRDefault="00BA68FE" w:rsidP="00BE68EC">
            <w:pPr>
              <w:jc w:val="center"/>
              <w:rPr>
                <w:sz w:val="16"/>
                <w:szCs w:val="16"/>
              </w:rPr>
            </w:pPr>
            <w:r>
              <w:rPr>
                <w:sz w:val="16"/>
                <w:szCs w:val="16"/>
              </w:rPr>
              <w:t>-</w:t>
            </w:r>
            <w:r w:rsidR="00A94A10">
              <w:rPr>
                <w:sz w:val="16"/>
                <w:szCs w:val="16"/>
              </w:rPr>
              <w:t>0.00</w:t>
            </w:r>
            <w:r>
              <w:rPr>
                <w:sz w:val="16"/>
                <w:szCs w:val="16"/>
              </w:rPr>
              <w:t>1</w:t>
            </w:r>
          </w:p>
          <w:p w14:paraId="76493594" w14:textId="1B0D399A" w:rsidR="00A94A10" w:rsidRPr="00AE58C7" w:rsidRDefault="00A94A10" w:rsidP="00BE68EC">
            <w:pPr>
              <w:jc w:val="center"/>
              <w:rPr>
                <w:sz w:val="16"/>
                <w:szCs w:val="16"/>
              </w:rPr>
            </w:pPr>
            <w:r>
              <w:rPr>
                <w:sz w:val="16"/>
                <w:szCs w:val="16"/>
              </w:rPr>
              <w:t>(0.0</w:t>
            </w:r>
            <w:r w:rsidR="00BA68FE">
              <w:rPr>
                <w:sz w:val="16"/>
                <w:szCs w:val="16"/>
              </w:rPr>
              <w:t>10</w:t>
            </w:r>
            <w:r>
              <w:rPr>
                <w:sz w:val="16"/>
                <w:szCs w:val="16"/>
              </w:rPr>
              <w:t>)</w:t>
            </w:r>
          </w:p>
        </w:tc>
      </w:tr>
      <w:tr w:rsidR="00A94A10" w:rsidRPr="00AE58C7" w14:paraId="464294FF" w14:textId="77777777" w:rsidTr="00BE68EC">
        <w:tc>
          <w:tcPr>
            <w:tcW w:w="2740" w:type="dxa"/>
            <w:vAlign w:val="center"/>
          </w:tcPr>
          <w:p w14:paraId="22661E55" w14:textId="77777777" w:rsidR="00A94A10" w:rsidRPr="00AE58C7" w:rsidRDefault="00A94A10" w:rsidP="00BE68EC">
            <w:pPr>
              <w:rPr>
                <w:b/>
                <w:bCs/>
                <w:sz w:val="16"/>
                <w:szCs w:val="16"/>
              </w:rPr>
            </w:pPr>
            <w:r w:rsidRPr="00AE58C7">
              <w:rPr>
                <w:sz w:val="16"/>
                <w:szCs w:val="16"/>
              </w:rPr>
              <w:t xml:space="preserve"> Munster</w:t>
            </w:r>
          </w:p>
        </w:tc>
        <w:tc>
          <w:tcPr>
            <w:tcW w:w="1571" w:type="dxa"/>
            <w:vAlign w:val="center"/>
          </w:tcPr>
          <w:p w14:paraId="42A65B26" w14:textId="7F030CF5" w:rsidR="00A94A10" w:rsidRDefault="00A94A10" w:rsidP="00BE68EC">
            <w:pPr>
              <w:jc w:val="center"/>
              <w:rPr>
                <w:sz w:val="16"/>
                <w:szCs w:val="16"/>
              </w:rPr>
            </w:pPr>
            <w:r>
              <w:rPr>
                <w:sz w:val="16"/>
                <w:szCs w:val="16"/>
              </w:rPr>
              <w:t>-0.02</w:t>
            </w:r>
            <w:r w:rsidR="00623E9E">
              <w:rPr>
                <w:sz w:val="16"/>
                <w:szCs w:val="16"/>
              </w:rPr>
              <w:t>7</w:t>
            </w:r>
            <w:r>
              <w:rPr>
                <w:sz w:val="16"/>
                <w:szCs w:val="16"/>
              </w:rPr>
              <w:t>**</w:t>
            </w:r>
          </w:p>
          <w:p w14:paraId="0303AA75" w14:textId="4BB99C8D" w:rsidR="00A94A10" w:rsidRPr="00512EFF" w:rsidRDefault="00A94A10" w:rsidP="00BE68EC">
            <w:pPr>
              <w:jc w:val="center"/>
              <w:rPr>
                <w:sz w:val="16"/>
                <w:szCs w:val="16"/>
              </w:rPr>
            </w:pPr>
            <w:r>
              <w:rPr>
                <w:sz w:val="16"/>
                <w:szCs w:val="16"/>
              </w:rPr>
              <w:t>(0.00</w:t>
            </w:r>
            <w:r w:rsidR="00623E9E">
              <w:rPr>
                <w:sz w:val="16"/>
                <w:szCs w:val="16"/>
              </w:rPr>
              <w:t>9</w:t>
            </w:r>
            <w:r>
              <w:rPr>
                <w:sz w:val="16"/>
                <w:szCs w:val="16"/>
              </w:rPr>
              <w:t>)</w:t>
            </w:r>
          </w:p>
        </w:tc>
        <w:tc>
          <w:tcPr>
            <w:tcW w:w="1572" w:type="dxa"/>
            <w:gridSpan w:val="2"/>
            <w:tcBorders>
              <w:right w:val="single" w:sz="4" w:space="0" w:color="auto"/>
            </w:tcBorders>
            <w:vAlign w:val="center"/>
          </w:tcPr>
          <w:p w14:paraId="3EAF0253" w14:textId="0D5B276A" w:rsidR="00A94A10" w:rsidRDefault="00A94A10" w:rsidP="00BE68EC">
            <w:pPr>
              <w:jc w:val="center"/>
              <w:rPr>
                <w:sz w:val="16"/>
                <w:szCs w:val="16"/>
              </w:rPr>
            </w:pPr>
            <w:r>
              <w:rPr>
                <w:sz w:val="16"/>
                <w:szCs w:val="16"/>
              </w:rPr>
              <w:t>-0.021*</w:t>
            </w:r>
          </w:p>
          <w:p w14:paraId="5AF9105B" w14:textId="75BDCC7F" w:rsidR="00A94A10" w:rsidRPr="00AE58C7" w:rsidRDefault="00A94A10" w:rsidP="00BE68EC">
            <w:pPr>
              <w:jc w:val="center"/>
              <w:rPr>
                <w:sz w:val="16"/>
                <w:szCs w:val="16"/>
              </w:rPr>
            </w:pPr>
            <w:r>
              <w:rPr>
                <w:sz w:val="16"/>
                <w:szCs w:val="16"/>
              </w:rPr>
              <w:t>(0.00</w:t>
            </w:r>
            <w:r w:rsidR="00AD1634">
              <w:rPr>
                <w:sz w:val="16"/>
                <w:szCs w:val="16"/>
              </w:rPr>
              <w:t>9</w:t>
            </w:r>
            <w:r>
              <w:rPr>
                <w:sz w:val="16"/>
                <w:szCs w:val="16"/>
              </w:rPr>
              <w:t>)</w:t>
            </w:r>
          </w:p>
        </w:tc>
        <w:tc>
          <w:tcPr>
            <w:tcW w:w="1571" w:type="dxa"/>
            <w:tcBorders>
              <w:left w:val="single" w:sz="4" w:space="0" w:color="auto"/>
            </w:tcBorders>
          </w:tcPr>
          <w:p w14:paraId="1FF55A9D" w14:textId="262CBCE5" w:rsidR="00A94A10" w:rsidRDefault="00A94A10" w:rsidP="00BE68EC">
            <w:pPr>
              <w:jc w:val="center"/>
              <w:rPr>
                <w:sz w:val="16"/>
                <w:szCs w:val="16"/>
              </w:rPr>
            </w:pPr>
            <w:r>
              <w:rPr>
                <w:sz w:val="16"/>
                <w:szCs w:val="16"/>
              </w:rPr>
              <w:t>0.0</w:t>
            </w:r>
            <w:r w:rsidR="00D053F9">
              <w:rPr>
                <w:sz w:val="16"/>
                <w:szCs w:val="16"/>
              </w:rPr>
              <w:t>05</w:t>
            </w:r>
          </w:p>
          <w:p w14:paraId="22A1ED90" w14:textId="7A59DBA8" w:rsidR="00A94A10" w:rsidRPr="00AE58C7" w:rsidRDefault="00A94A10" w:rsidP="00BE68EC">
            <w:pPr>
              <w:jc w:val="center"/>
              <w:rPr>
                <w:sz w:val="16"/>
                <w:szCs w:val="16"/>
              </w:rPr>
            </w:pPr>
            <w:r>
              <w:rPr>
                <w:sz w:val="16"/>
                <w:szCs w:val="16"/>
              </w:rPr>
              <w:t>(0.0</w:t>
            </w:r>
            <w:r w:rsidR="00D053F9">
              <w:rPr>
                <w:sz w:val="16"/>
                <w:szCs w:val="16"/>
              </w:rPr>
              <w:t>10</w:t>
            </w:r>
            <w:r>
              <w:rPr>
                <w:sz w:val="16"/>
                <w:szCs w:val="16"/>
              </w:rPr>
              <w:t>)</w:t>
            </w:r>
          </w:p>
        </w:tc>
        <w:tc>
          <w:tcPr>
            <w:tcW w:w="1572" w:type="dxa"/>
          </w:tcPr>
          <w:p w14:paraId="39236D74" w14:textId="4EF78314" w:rsidR="00A94A10" w:rsidRDefault="00A94A10" w:rsidP="00BE68EC">
            <w:pPr>
              <w:jc w:val="center"/>
              <w:rPr>
                <w:sz w:val="16"/>
                <w:szCs w:val="16"/>
              </w:rPr>
            </w:pPr>
            <w:r>
              <w:rPr>
                <w:sz w:val="16"/>
                <w:szCs w:val="16"/>
              </w:rPr>
              <w:t>0.00</w:t>
            </w:r>
            <w:r w:rsidR="00BA68FE">
              <w:rPr>
                <w:sz w:val="16"/>
                <w:szCs w:val="16"/>
              </w:rPr>
              <w:t>1</w:t>
            </w:r>
          </w:p>
          <w:p w14:paraId="1F2AC133" w14:textId="394D51E1" w:rsidR="00A94A10" w:rsidRPr="00AE58C7" w:rsidRDefault="00A94A10" w:rsidP="00BE68EC">
            <w:pPr>
              <w:jc w:val="center"/>
              <w:rPr>
                <w:sz w:val="16"/>
                <w:szCs w:val="16"/>
              </w:rPr>
            </w:pPr>
            <w:r>
              <w:rPr>
                <w:sz w:val="16"/>
                <w:szCs w:val="16"/>
              </w:rPr>
              <w:t>(0.0</w:t>
            </w:r>
            <w:r w:rsidR="00BA68FE">
              <w:rPr>
                <w:sz w:val="16"/>
                <w:szCs w:val="16"/>
              </w:rPr>
              <w:t>10</w:t>
            </w:r>
            <w:r>
              <w:rPr>
                <w:sz w:val="16"/>
                <w:szCs w:val="16"/>
              </w:rPr>
              <w:t>)</w:t>
            </w:r>
          </w:p>
        </w:tc>
      </w:tr>
      <w:tr w:rsidR="00A94A10" w:rsidRPr="00AE58C7" w14:paraId="4DD17FC3" w14:textId="77777777" w:rsidTr="00BE68EC">
        <w:tc>
          <w:tcPr>
            <w:tcW w:w="2740" w:type="dxa"/>
            <w:vAlign w:val="center"/>
          </w:tcPr>
          <w:p w14:paraId="035AE1D1" w14:textId="77777777" w:rsidR="00A94A10" w:rsidRPr="00AE58C7" w:rsidRDefault="00A94A10" w:rsidP="00BE68EC">
            <w:pPr>
              <w:rPr>
                <w:b/>
                <w:bCs/>
                <w:sz w:val="16"/>
                <w:szCs w:val="16"/>
              </w:rPr>
            </w:pPr>
            <w:r w:rsidRPr="00AE58C7">
              <w:rPr>
                <w:sz w:val="16"/>
                <w:szCs w:val="16"/>
              </w:rPr>
              <w:t xml:space="preserve"> Connaught/Ulster</w:t>
            </w:r>
          </w:p>
        </w:tc>
        <w:tc>
          <w:tcPr>
            <w:tcW w:w="1571" w:type="dxa"/>
            <w:vAlign w:val="center"/>
          </w:tcPr>
          <w:p w14:paraId="5095C6F9" w14:textId="77777777" w:rsidR="00A94A10" w:rsidRDefault="00A94A10" w:rsidP="00BE68EC">
            <w:pPr>
              <w:jc w:val="center"/>
              <w:rPr>
                <w:sz w:val="16"/>
                <w:szCs w:val="16"/>
              </w:rPr>
            </w:pPr>
            <w:r>
              <w:rPr>
                <w:sz w:val="16"/>
                <w:szCs w:val="16"/>
              </w:rPr>
              <w:t>-0.038***</w:t>
            </w:r>
          </w:p>
          <w:p w14:paraId="1CFF1334" w14:textId="5B9234DC" w:rsidR="00A94A10" w:rsidRPr="00AE58C7" w:rsidRDefault="00A94A10" w:rsidP="00BE68EC">
            <w:pPr>
              <w:jc w:val="center"/>
              <w:rPr>
                <w:sz w:val="16"/>
                <w:szCs w:val="16"/>
              </w:rPr>
            </w:pPr>
            <w:r>
              <w:rPr>
                <w:sz w:val="16"/>
                <w:szCs w:val="16"/>
              </w:rPr>
              <w:t>(0.0</w:t>
            </w:r>
            <w:r w:rsidR="001C279F">
              <w:rPr>
                <w:sz w:val="16"/>
                <w:szCs w:val="16"/>
              </w:rPr>
              <w:t>10</w:t>
            </w:r>
            <w:r>
              <w:rPr>
                <w:sz w:val="16"/>
                <w:szCs w:val="16"/>
              </w:rPr>
              <w:t>)</w:t>
            </w:r>
          </w:p>
        </w:tc>
        <w:tc>
          <w:tcPr>
            <w:tcW w:w="1572" w:type="dxa"/>
            <w:gridSpan w:val="2"/>
            <w:tcBorders>
              <w:right w:val="single" w:sz="4" w:space="0" w:color="auto"/>
            </w:tcBorders>
            <w:vAlign w:val="center"/>
          </w:tcPr>
          <w:p w14:paraId="00907614" w14:textId="21843899" w:rsidR="00A94A10" w:rsidRDefault="00A94A10" w:rsidP="00BE68EC">
            <w:pPr>
              <w:jc w:val="center"/>
              <w:rPr>
                <w:sz w:val="16"/>
                <w:szCs w:val="16"/>
              </w:rPr>
            </w:pPr>
            <w:r>
              <w:rPr>
                <w:sz w:val="16"/>
                <w:szCs w:val="16"/>
              </w:rPr>
              <w:t>-0.03</w:t>
            </w:r>
            <w:r w:rsidR="00AD1634">
              <w:rPr>
                <w:sz w:val="16"/>
                <w:szCs w:val="16"/>
              </w:rPr>
              <w:t>9</w:t>
            </w:r>
            <w:r>
              <w:rPr>
                <w:sz w:val="16"/>
                <w:szCs w:val="16"/>
              </w:rPr>
              <w:t>***</w:t>
            </w:r>
          </w:p>
          <w:p w14:paraId="410E9BFB" w14:textId="5DF25ABD" w:rsidR="00A94A10" w:rsidRPr="00AE58C7" w:rsidRDefault="00A94A10" w:rsidP="00BE68EC">
            <w:pPr>
              <w:jc w:val="center"/>
              <w:rPr>
                <w:sz w:val="16"/>
                <w:szCs w:val="16"/>
              </w:rPr>
            </w:pPr>
            <w:r>
              <w:rPr>
                <w:sz w:val="16"/>
                <w:szCs w:val="16"/>
              </w:rPr>
              <w:t>(0.0</w:t>
            </w:r>
            <w:r w:rsidR="00AD1634">
              <w:rPr>
                <w:sz w:val="16"/>
                <w:szCs w:val="16"/>
              </w:rPr>
              <w:t>10</w:t>
            </w:r>
            <w:r>
              <w:rPr>
                <w:sz w:val="16"/>
                <w:szCs w:val="16"/>
              </w:rPr>
              <w:t>)</w:t>
            </w:r>
          </w:p>
        </w:tc>
        <w:tc>
          <w:tcPr>
            <w:tcW w:w="1571" w:type="dxa"/>
            <w:tcBorders>
              <w:left w:val="single" w:sz="4" w:space="0" w:color="auto"/>
            </w:tcBorders>
          </w:tcPr>
          <w:p w14:paraId="6882C74C" w14:textId="16B09A7C" w:rsidR="00A94A10" w:rsidRDefault="00A94A10" w:rsidP="00BE68EC">
            <w:pPr>
              <w:jc w:val="center"/>
              <w:rPr>
                <w:sz w:val="16"/>
                <w:szCs w:val="16"/>
              </w:rPr>
            </w:pPr>
            <w:r>
              <w:rPr>
                <w:sz w:val="16"/>
                <w:szCs w:val="16"/>
              </w:rPr>
              <w:t>0.0</w:t>
            </w:r>
            <w:r w:rsidR="00D053F9">
              <w:rPr>
                <w:sz w:val="16"/>
                <w:szCs w:val="16"/>
              </w:rPr>
              <w:t>48</w:t>
            </w:r>
            <w:r>
              <w:rPr>
                <w:sz w:val="16"/>
                <w:szCs w:val="16"/>
              </w:rPr>
              <w:t>***</w:t>
            </w:r>
          </w:p>
          <w:p w14:paraId="7C248F1D" w14:textId="554F8272" w:rsidR="00A94A10" w:rsidRPr="00E61D88" w:rsidRDefault="00A94A10" w:rsidP="00BE68EC">
            <w:pPr>
              <w:jc w:val="center"/>
              <w:rPr>
                <w:sz w:val="16"/>
                <w:szCs w:val="16"/>
              </w:rPr>
            </w:pPr>
            <w:r>
              <w:rPr>
                <w:sz w:val="16"/>
                <w:szCs w:val="16"/>
              </w:rPr>
              <w:t>(0.0</w:t>
            </w:r>
            <w:r w:rsidR="00D053F9">
              <w:rPr>
                <w:sz w:val="16"/>
                <w:szCs w:val="16"/>
              </w:rPr>
              <w:t>11</w:t>
            </w:r>
            <w:r>
              <w:rPr>
                <w:sz w:val="16"/>
                <w:szCs w:val="16"/>
              </w:rPr>
              <w:t>)</w:t>
            </w:r>
          </w:p>
        </w:tc>
        <w:tc>
          <w:tcPr>
            <w:tcW w:w="1572" w:type="dxa"/>
          </w:tcPr>
          <w:p w14:paraId="219349F1" w14:textId="7E6AE98A" w:rsidR="00A94A10" w:rsidRDefault="00A94A10" w:rsidP="00BE68EC">
            <w:pPr>
              <w:jc w:val="center"/>
              <w:rPr>
                <w:sz w:val="16"/>
                <w:szCs w:val="16"/>
              </w:rPr>
            </w:pPr>
            <w:r>
              <w:rPr>
                <w:sz w:val="16"/>
                <w:szCs w:val="16"/>
              </w:rPr>
              <w:t>0.0</w:t>
            </w:r>
            <w:r w:rsidR="00BA68FE">
              <w:rPr>
                <w:sz w:val="16"/>
                <w:szCs w:val="16"/>
              </w:rPr>
              <w:t>47</w:t>
            </w:r>
            <w:r>
              <w:rPr>
                <w:sz w:val="16"/>
                <w:szCs w:val="16"/>
              </w:rPr>
              <w:t>***</w:t>
            </w:r>
          </w:p>
          <w:p w14:paraId="2A886683" w14:textId="799EAB96" w:rsidR="00A94A10" w:rsidRPr="00AE58C7" w:rsidRDefault="00A94A10" w:rsidP="00BE68EC">
            <w:pPr>
              <w:jc w:val="center"/>
              <w:rPr>
                <w:sz w:val="16"/>
                <w:szCs w:val="16"/>
              </w:rPr>
            </w:pPr>
            <w:r>
              <w:rPr>
                <w:sz w:val="16"/>
                <w:szCs w:val="16"/>
              </w:rPr>
              <w:t>(0.0</w:t>
            </w:r>
            <w:r w:rsidR="00BA68FE">
              <w:rPr>
                <w:sz w:val="16"/>
                <w:szCs w:val="16"/>
              </w:rPr>
              <w:t>11</w:t>
            </w:r>
            <w:r>
              <w:rPr>
                <w:sz w:val="16"/>
                <w:szCs w:val="16"/>
              </w:rPr>
              <w:t>)</w:t>
            </w:r>
          </w:p>
        </w:tc>
      </w:tr>
      <w:tr w:rsidR="00A94A10" w:rsidRPr="00AE58C7" w14:paraId="248140E9" w14:textId="77777777" w:rsidTr="00BE68EC">
        <w:tc>
          <w:tcPr>
            <w:tcW w:w="4962" w:type="dxa"/>
            <w:gridSpan w:val="3"/>
            <w:vAlign w:val="center"/>
          </w:tcPr>
          <w:p w14:paraId="791F4350" w14:textId="77777777" w:rsidR="00A94A10" w:rsidRPr="00AE58C7" w:rsidRDefault="00A94A10" w:rsidP="00BE68EC">
            <w:pPr>
              <w:rPr>
                <w:sz w:val="16"/>
                <w:szCs w:val="16"/>
              </w:rPr>
            </w:pPr>
            <w:r>
              <w:rPr>
                <w:i/>
                <w:iCs/>
                <w:sz w:val="16"/>
                <w:szCs w:val="16"/>
              </w:rPr>
              <w:t>Highest e</w:t>
            </w:r>
            <w:r w:rsidRPr="00AE58C7">
              <w:rPr>
                <w:i/>
                <w:iCs/>
                <w:sz w:val="16"/>
                <w:szCs w:val="16"/>
              </w:rPr>
              <w:t>ducational achievement</w:t>
            </w:r>
            <w:r>
              <w:rPr>
                <w:i/>
                <w:iCs/>
                <w:sz w:val="16"/>
                <w:szCs w:val="16"/>
              </w:rPr>
              <w:t xml:space="preserve"> </w:t>
            </w:r>
            <w:r w:rsidRPr="00AE58C7">
              <w:rPr>
                <w:i/>
                <w:iCs/>
                <w:sz w:val="16"/>
                <w:szCs w:val="16"/>
              </w:rPr>
              <w:t>(Ref: less than Leaving Certificate)</w:t>
            </w:r>
          </w:p>
        </w:tc>
        <w:tc>
          <w:tcPr>
            <w:tcW w:w="921" w:type="dxa"/>
            <w:tcBorders>
              <w:right w:val="single" w:sz="4" w:space="0" w:color="auto"/>
            </w:tcBorders>
            <w:vAlign w:val="center"/>
          </w:tcPr>
          <w:p w14:paraId="3F664E59" w14:textId="77777777" w:rsidR="00A94A10" w:rsidRPr="00AE58C7" w:rsidRDefault="00A94A10" w:rsidP="00BE68EC">
            <w:pPr>
              <w:jc w:val="center"/>
              <w:rPr>
                <w:sz w:val="16"/>
                <w:szCs w:val="16"/>
              </w:rPr>
            </w:pPr>
          </w:p>
        </w:tc>
        <w:tc>
          <w:tcPr>
            <w:tcW w:w="1571" w:type="dxa"/>
            <w:tcBorders>
              <w:left w:val="single" w:sz="4" w:space="0" w:color="auto"/>
            </w:tcBorders>
          </w:tcPr>
          <w:p w14:paraId="52D87097" w14:textId="77777777" w:rsidR="00A94A10" w:rsidRDefault="00A94A10" w:rsidP="00BE68EC">
            <w:pPr>
              <w:jc w:val="center"/>
              <w:rPr>
                <w:sz w:val="16"/>
                <w:szCs w:val="16"/>
              </w:rPr>
            </w:pPr>
          </w:p>
        </w:tc>
        <w:tc>
          <w:tcPr>
            <w:tcW w:w="1572" w:type="dxa"/>
          </w:tcPr>
          <w:p w14:paraId="54643CE7" w14:textId="77777777" w:rsidR="00A94A10" w:rsidRDefault="00A94A10" w:rsidP="00BE68EC">
            <w:pPr>
              <w:jc w:val="center"/>
              <w:rPr>
                <w:sz w:val="16"/>
                <w:szCs w:val="16"/>
              </w:rPr>
            </w:pPr>
          </w:p>
        </w:tc>
      </w:tr>
      <w:tr w:rsidR="00A94A10" w:rsidRPr="00AE58C7" w14:paraId="6F93FF51" w14:textId="77777777" w:rsidTr="00BE68EC">
        <w:tc>
          <w:tcPr>
            <w:tcW w:w="2740" w:type="dxa"/>
            <w:vAlign w:val="center"/>
          </w:tcPr>
          <w:p w14:paraId="0DA40011" w14:textId="77777777" w:rsidR="00A94A10" w:rsidRPr="00AE58C7" w:rsidRDefault="00A94A10" w:rsidP="00BE68EC">
            <w:pPr>
              <w:rPr>
                <w:b/>
                <w:bCs/>
                <w:sz w:val="16"/>
                <w:szCs w:val="16"/>
              </w:rPr>
            </w:pPr>
            <w:r w:rsidRPr="00AE58C7">
              <w:rPr>
                <w:sz w:val="16"/>
                <w:szCs w:val="16"/>
              </w:rPr>
              <w:t xml:space="preserve"> Leaving Certificate</w:t>
            </w:r>
          </w:p>
        </w:tc>
        <w:tc>
          <w:tcPr>
            <w:tcW w:w="1571" w:type="dxa"/>
            <w:vAlign w:val="center"/>
          </w:tcPr>
          <w:p w14:paraId="67A34259" w14:textId="0BD558B9" w:rsidR="00A94A10" w:rsidRDefault="00A94A10" w:rsidP="00BE68EC">
            <w:pPr>
              <w:jc w:val="center"/>
              <w:rPr>
                <w:sz w:val="16"/>
                <w:szCs w:val="16"/>
              </w:rPr>
            </w:pPr>
            <w:r>
              <w:rPr>
                <w:sz w:val="16"/>
                <w:szCs w:val="16"/>
              </w:rPr>
              <w:t>-0.01</w:t>
            </w:r>
            <w:r w:rsidR="001C279F">
              <w:rPr>
                <w:sz w:val="16"/>
                <w:szCs w:val="16"/>
              </w:rPr>
              <w:t>5</w:t>
            </w:r>
          </w:p>
          <w:p w14:paraId="7D3536AE" w14:textId="7F0F5FA6" w:rsidR="00A94A10" w:rsidRPr="00AE58C7" w:rsidRDefault="00A94A10" w:rsidP="00BE68EC">
            <w:pPr>
              <w:jc w:val="center"/>
              <w:rPr>
                <w:sz w:val="16"/>
                <w:szCs w:val="16"/>
              </w:rPr>
            </w:pPr>
            <w:r>
              <w:rPr>
                <w:sz w:val="16"/>
                <w:szCs w:val="16"/>
              </w:rPr>
              <w:t>(0.0</w:t>
            </w:r>
            <w:r w:rsidR="001C279F">
              <w:rPr>
                <w:sz w:val="16"/>
                <w:szCs w:val="16"/>
              </w:rPr>
              <w:t>10</w:t>
            </w:r>
            <w:r>
              <w:rPr>
                <w:sz w:val="16"/>
                <w:szCs w:val="16"/>
              </w:rPr>
              <w:t>)</w:t>
            </w:r>
          </w:p>
        </w:tc>
        <w:tc>
          <w:tcPr>
            <w:tcW w:w="1572" w:type="dxa"/>
            <w:gridSpan w:val="2"/>
            <w:tcBorders>
              <w:right w:val="single" w:sz="4" w:space="0" w:color="auto"/>
            </w:tcBorders>
            <w:vAlign w:val="center"/>
          </w:tcPr>
          <w:p w14:paraId="7D7FB60E" w14:textId="687CBD33" w:rsidR="00A94A10" w:rsidRDefault="00A94A10" w:rsidP="00BE68EC">
            <w:pPr>
              <w:jc w:val="center"/>
              <w:rPr>
                <w:sz w:val="16"/>
                <w:szCs w:val="16"/>
              </w:rPr>
            </w:pPr>
            <w:r>
              <w:rPr>
                <w:sz w:val="16"/>
                <w:szCs w:val="16"/>
              </w:rPr>
              <w:t>-0.01</w:t>
            </w:r>
            <w:r w:rsidR="00D37804">
              <w:rPr>
                <w:sz w:val="16"/>
                <w:szCs w:val="16"/>
              </w:rPr>
              <w:t>4</w:t>
            </w:r>
          </w:p>
          <w:p w14:paraId="2778393D" w14:textId="57DD8679" w:rsidR="00A94A10" w:rsidRPr="00AE58C7" w:rsidRDefault="00A94A10" w:rsidP="00BE68EC">
            <w:pPr>
              <w:jc w:val="center"/>
              <w:rPr>
                <w:sz w:val="16"/>
                <w:szCs w:val="16"/>
              </w:rPr>
            </w:pPr>
            <w:r>
              <w:rPr>
                <w:sz w:val="16"/>
                <w:szCs w:val="16"/>
              </w:rPr>
              <w:t>(0.0</w:t>
            </w:r>
            <w:r w:rsidR="00D37804">
              <w:rPr>
                <w:sz w:val="16"/>
                <w:szCs w:val="16"/>
              </w:rPr>
              <w:t>10</w:t>
            </w:r>
            <w:r>
              <w:rPr>
                <w:sz w:val="16"/>
                <w:szCs w:val="16"/>
              </w:rPr>
              <w:t>)</w:t>
            </w:r>
          </w:p>
        </w:tc>
        <w:tc>
          <w:tcPr>
            <w:tcW w:w="1571" w:type="dxa"/>
            <w:tcBorders>
              <w:left w:val="single" w:sz="4" w:space="0" w:color="auto"/>
            </w:tcBorders>
          </w:tcPr>
          <w:p w14:paraId="4A38A044" w14:textId="77777777" w:rsidR="00A94A10" w:rsidRDefault="00A94A10" w:rsidP="00BE68EC">
            <w:pPr>
              <w:jc w:val="center"/>
              <w:rPr>
                <w:sz w:val="16"/>
                <w:szCs w:val="16"/>
              </w:rPr>
            </w:pPr>
            <w:r>
              <w:rPr>
                <w:sz w:val="16"/>
                <w:szCs w:val="16"/>
              </w:rPr>
              <w:t>0.004</w:t>
            </w:r>
          </w:p>
          <w:p w14:paraId="79693900" w14:textId="268A1661" w:rsidR="00A94A10" w:rsidRPr="00AE58C7" w:rsidRDefault="00A94A10" w:rsidP="00BE68EC">
            <w:pPr>
              <w:jc w:val="center"/>
              <w:rPr>
                <w:sz w:val="16"/>
                <w:szCs w:val="16"/>
              </w:rPr>
            </w:pPr>
            <w:r>
              <w:rPr>
                <w:sz w:val="16"/>
                <w:szCs w:val="16"/>
              </w:rPr>
              <w:t>(0.0</w:t>
            </w:r>
            <w:r w:rsidR="009C16B9">
              <w:rPr>
                <w:sz w:val="16"/>
                <w:szCs w:val="16"/>
              </w:rPr>
              <w:t>10</w:t>
            </w:r>
            <w:r>
              <w:rPr>
                <w:sz w:val="16"/>
                <w:szCs w:val="16"/>
              </w:rPr>
              <w:t>)</w:t>
            </w:r>
          </w:p>
        </w:tc>
        <w:tc>
          <w:tcPr>
            <w:tcW w:w="1572" w:type="dxa"/>
          </w:tcPr>
          <w:p w14:paraId="54BCAF35" w14:textId="77777777" w:rsidR="00A94A10" w:rsidRDefault="00A94A10" w:rsidP="00BE68EC">
            <w:pPr>
              <w:jc w:val="center"/>
              <w:rPr>
                <w:sz w:val="16"/>
                <w:szCs w:val="16"/>
              </w:rPr>
            </w:pPr>
            <w:r>
              <w:rPr>
                <w:sz w:val="16"/>
                <w:szCs w:val="16"/>
              </w:rPr>
              <w:t>0.003</w:t>
            </w:r>
          </w:p>
          <w:p w14:paraId="659A67FB" w14:textId="2D7990FE" w:rsidR="00A94A10" w:rsidRPr="00AE58C7" w:rsidRDefault="00A94A10" w:rsidP="00BE68EC">
            <w:pPr>
              <w:jc w:val="center"/>
              <w:rPr>
                <w:sz w:val="16"/>
                <w:szCs w:val="16"/>
              </w:rPr>
            </w:pPr>
            <w:r>
              <w:rPr>
                <w:sz w:val="16"/>
                <w:szCs w:val="16"/>
              </w:rPr>
              <w:t>(0.0</w:t>
            </w:r>
            <w:r w:rsidR="00ED49C2">
              <w:rPr>
                <w:sz w:val="16"/>
                <w:szCs w:val="16"/>
              </w:rPr>
              <w:t>10</w:t>
            </w:r>
            <w:r>
              <w:rPr>
                <w:sz w:val="16"/>
                <w:szCs w:val="16"/>
              </w:rPr>
              <w:t>)</w:t>
            </w:r>
          </w:p>
        </w:tc>
      </w:tr>
      <w:tr w:rsidR="00A94A10" w:rsidRPr="00AE58C7" w14:paraId="4B8C3BA9" w14:textId="77777777" w:rsidTr="00BE68EC">
        <w:tc>
          <w:tcPr>
            <w:tcW w:w="2740" w:type="dxa"/>
            <w:vAlign w:val="center"/>
          </w:tcPr>
          <w:p w14:paraId="1BB6BF4A" w14:textId="77777777" w:rsidR="00A94A10" w:rsidRPr="00AE58C7" w:rsidRDefault="00A94A10" w:rsidP="00BE68EC">
            <w:pPr>
              <w:rPr>
                <w:sz w:val="16"/>
                <w:szCs w:val="16"/>
              </w:rPr>
            </w:pPr>
            <w:r w:rsidRPr="00AE58C7">
              <w:rPr>
                <w:sz w:val="16"/>
                <w:szCs w:val="16"/>
              </w:rPr>
              <w:t xml:space="preserve"> Degree (graduate/postgraduate)</w:t>
            </w:r>
          </w:p>
        </w:tc>
        <w:tc>
          <w:tcPr>
            <w:tcW w:w="1571" w:type="dxa"/>
            <w:vAlign w:val="center"/>
          </w:tcPr>
          <w:p w14:paraId="4CD52CE9" w14:textId="6B3BF78F" w:rsidR="00A94A10" w:rsidRDefault="00A94A10" w:rsidP="00BE68EC">
            <w:pPr>
              <w:jc w:val="center"/>
              <w:rPr>
                <w:sz w:val="16"/>
                <w:szCs w:val="16"/>
              </w:rPr>
            </w:pPr>
            <w:r>
              <w:rPr>
                <w:sz w:val="16"/>
                <w:szCs w:val="16"/>
              </w:rPr>
              <w:t>-0.03</w:t>
            </w:r>
            <w:r w:rsidR="001C279F">
              <w:rPr>
                <w:sz w:val="16"/>
                <w:szCs w:val="16"/>
              </w:rPr>
              <w:t>9</w:t>
            </w:r>
            <w:r>
              <w:rPr>
                <w:sz w:val="16"/>
                <w:szCs w:val="16"/>
              </w:rPr>
              <w:t>***</w:t>
            </w:r>
          </w:p>
          <w:p w14:paraId="2928B4DF" w14:textId="7A10D65D" w:rsidR="00A94A10" w:rsidRPr="00AE58C7" w:rsidRDefault="00A94A10" w:rsidP="00BE68EC">
            <w:pPr>
              <w:jc w:val="center"/>
              <w:rPr>
                <w:sz w:val="16"/>
                <w:szCs w:val="16"/>
              </w:rPr>
            </w:pPr>
            <w:r>
              <w:rPr>
                <w:sz w:val="16"/>
                <w:szCs w:val="16"/>
              </w:rPr>
              <w:t>(0.0</w:t>
            </w:r>
            <w:r w:rsidR="001C279F">
              <w:rPr>
                <w:sz w:val="16"/>
                <w:szCs w:val="16"/>
              </w:rPr>
              <w:t>11</w:t>
            </w:r>
            <w:r>
              <w:rPr>
                <w:sz w:val="16"/>
                <w:szCs w:val="16"/>
              </w:rPr>
              <w:t>)</w:t>
            </w:r>
          </w:p>
        </w:tc>
        <w:tc>
          <w:tcPr>
            <w:tcW w:w="1572" w:type="dxa"/>
            <w:gridSpan w:val="2"/>
            <w:tcBorders>
              <w:right w:val="single" w:sz="4" w:space="0" w:color="auto"/>
            </w:tcBorders>
            <w:vAlign w:val="center"/>
          </w:tcPr>
          <w:p w14:paraId="19AF9AC4" w14:textId="676C0239" w:rsidR="00A94A10" w:rsidRDefault="00A94A10" w:rsidP="00BE68EC">
            <w:pPr>
              <w:jc w:val="center"/>
              <w:rPr>
                <w:sz w:val="16"/>
                <w:szCs w:val="16"/>
              </w:rPr>
            </w:pPr>
            <w:r>
              <w:rPr>
                <w:sz w:val="16"/>
                <w:szCs w:val="16"/>
              </w:rPr>
              <w:t>-0.03</w:t>
            </w:r>
            <w:r w:rsidR="00D37804">
              <w:rPr>
                <w:sz w:val="16"/>
                <w:szCs w:val="16"/>
              </w:rPr>
              <w:t>4</w:t>
            </w:r>
            <w:r>
              <w:rPr>
                <w:sz w:val="16"/>
                <w:szCs w:val="16"/>
              </w:rPr>
              <w:t>**</w:t>
            </w:r>
          </w:p>
          <w:p w14:paraId="00D11D2F" w14:textId="76EFC52B" w:rsidR="00A94A10" w:rsidRPr="00AE58C7" w:rsidRDefault="00A94A10" w:rsidP="00BE68EC">
            <w:pPr>
              <w:jc w:val="center"/>
              <w:rPr>
                <w:sz w:val="16"/>
                <w:szCs w:val="16"/>
              </w:rPr>
            </w:pPr>
            <w:r>
              <w:rPr>
                <w:sz w:val="16"/>
                <w:szCs w:val="16"/>
              </w:rPr>
              <w:t>(0.0</w:t>
            </w:r>
            <w:r w:rsidR="00D37804">
              <w:rPr>
                <w:sz w:val="16"/>
                <w:szCs w:val="16"/>
              </w:rPr>
              <w:t>11</w:t>
            </w:r>
            <w:r>
              <w:rPr>
                <w:sz w:val="16"/>
                <w:szCs w:val="16"/>
              </w:rPr>
              <w:t>)</w:t>
            </w:r>
          </w:p>
        </w:tc>
        <w:tc>
          <w:tcPr>
            <w:tcW w:w="1571" w:type="dxa"/>
            <w:tcBorders>
              <w:left w:val="single" w:sz="4" w:space="0" w:color="auto"/>
            </w:tcBorders>
          </w:tcPr>
          <w:p w14:paraId="71594E97" w14:textId="1A895039" w:rsidR="00A94A10" w:rsidRDefault="00A94A10" w:rsidP="00BE68EC">
            <w:pPr>
              <w:jc w:val="center"/>
              <w:rPr>
                <w:sz w:val="16"/>
                <w:szCs w:val="16"/>
              </w:rPr>
            </w:pPr>
            <w:r>
              <w:rPr>
                <w:sz w:val="16"/>
                <w:szCs w:val="16"/>
              </w:rPr>
              <w:t>0.00</w:t>
            </w:r>
            <w:r w:rsidR="009C16B9">
              <w:rPr>
                <w:sz w:val="16"/>
                <w:szCs w:val="16"/>
              </w:rPr>
              <w:t>0</w:t>
            </w:r>
            <w:r>
              <w:rPr>
                <w:sz w:val="16"/>
                <w:szCs w:val="16"/>
              </w:rPr>
              <w:t>5</w:t>
            </w:r>
          </w:p>
          <w:p w14:paraId="0A28F1BE" w14:textId="49AE5214" w:rsidR="00A94A10" w:rsidRPr="00AE58C7" w:rsidRDefault="00A94A10" w:rsidP="00BE68EC">
            <w:pPr>
              <w:jc w:val="center"/>
              <w:rPr>
                <w:sz w:val="16"/>
                <w:szCs w:val="16"/>
              </w:rPr>
            </w:pPr>
            <w:r>
              <w:rPr>
                <w:sz w:val="16"/>
                <w:szCs w:val="16"/>
              </w:rPr>
              <w:t>(0.0</w:t>
            </w:r>
            <w:r w:rsidR="009C16B9">
              <w:rPr>
                <w:sz w:val="16"/>
                <w:szCs w:val="16"/>
              </w:rPr>
              <w:t>11</w:t>
            </w:r>
            <w:r>
              <w:rPr>
                <w:sz w:val="16"/>
                <w:szCs w:val="16"/>
              </w:rPr>
              <w:t>)</w:t>
            </w:r>
          </w:p>
        </w:tc>
        <w:tc>
          <w:tcPr>
            <w:tcW w:w="1572" w:type="dxa"/>
          </w:tcPr>
          <w:p w14:paraId="5FCEC0D7" w14:textId="6E8A0227" w:rsidR="00A94A10" w:rsidRDefault="00ED49C2" w:rsidP="00BE68EC">
            <w:pPr>
              <w:jc w:val="center"/>
              <w:rPr>
                <w:sz w:val="16"/>
                <w:szCs w:val="16"/>
              </w:rPr>
            </w:pPr>
            <w:r>
              <w:rPr>
                <w:sz w:val="16"/>
                <w:szCs w:val="16"/>
              </w:rPr>
              <w:t>-</w:t>
            </w:r>
            <w:r w:rsidR="00A94A10">
              <w:rPr>
                <w:sz w:val="16"/>
                <w:szCs w:val="16"/>
              </w:rPr>
              <w:t>0.003</w:t>
            </w:r>
          </w:p>
          <w:p w14:paraId="19C8E880" w14:textId="5DE7720C" w:rsidR="00A94A10" w:rsidRPr="00AE58C7" w:rsidRDefault="00A94A10" w:rsidP="00BE68EC">
            <w:pPr>
              <w:jc w:val="center"/>
              <w:rPr>
                <w:sz w:val="16"/>
                <w:szCs w:val="16"/>
              </w:rPr>
            </w:pPr>
            <w:r>
              <w:rPr>
                <w:sz w:val="16"/>
                <w:szCs w:val="16"/>
              </w:rPr>
              <w:t>(0.0</w:t>
            </w:r>
            <w:r w:rsidR="00ED49C2">
              <w:rPr>
                <w:sz w:val="16"/>
                <w:szCs w:val="16"/>
              </w:rPr>
              <w:t>11</w:t>
            </w:r>
            <w:r>
              <w:rPr>
                <w:sz w:val="16"/>
                <w:szCs w:val="16"/>
              </w:rPr>
              <w:t>)</w:t>
            </w:r>
          </w:p>
        </w:tc>
      </w:tr>
      <w:tr w:rsidR="00A94A10" w:rsidRPr="00AE58C7" w14:paraId="299346A8" w14:textId="77777777" w:rsidTr="00BE68EC">
        <w:tc>
          <w:tcPr>
            <w:tcW w:w="2740" w:type="dxa"/>
            <w:tcBorders>
              <w:bottom w:val="nil"/>
            </w:tcBorders>
            <w:vAlign w:val="center"/>
          </w:tcPr>
          <w:p w14:paraId="5DD98EF8" w14:textId="77777777" w:rsidR="00A94A10" w:rsidRPr="00AE58C7" w:rsidRDefault="00A94A10" w:rsidP="00BE68EC">
            <w:pPr>
              <w:rPr>
                <w:sz w:val="16"/>
                <w:szCs w:val="16"/>
              </w:rPr>
            </w:pPr>
            <w:r w:rsidRPr="00AE58C7">
              <w:rPr>
                <w:sz w:val="16"/>
                <w:szCs w:val="16"/>
              </w:rPr>
              <w:t>Participate in social groups</w:t>
            </w:r>
          </w:p>
        </w:tc>
        <w:tc>
          <w:tcPr>
            <w:tcW w:w="1571" w:type="dxa"/>
            <w:tcBorders>
              <w:bottom w:val="nil"/>
            </w:tcBorders>
            <w:vAlign w:val="center"/>
          </w:tcPr>
          <w:p w14:paraId="7E4EB25B" w14:textId="31E931B3" w:rsidR="00A94A10" w:rsidRDefault="00A94A10" w:rsidP="00BE68EC">
            <w:pPr>
              <w:jc w:val="center"/>
              <w:rPr>
                <w:sz w:val="16"/>
                <w:szCs w:val="16"/>
              </w:rPr>
            </w:pPr>
            <w:r>
              <w:rPr>
                <w:sz w:val="16"/>
                <w:szCs w:val="16"/>
              </w:rPr>
              <w:t>-0.0</w:t>
            </w:r>
            <w:r w:rsidR="00FA679F">
              <w:rPr>
                <w:sz w:val="16"/>
                <w:szCs w:val="16"/>
              </w:rPr>
              <w:t>31</w:t>
            </w:r>
            <w:r>
              <w:rPr>
                <w:sz w:val="16"/>
                <w:szCs w:val="16"/>
              </w:rPr>
              <w:t>***</w:t>
            </w:r>
          </w:p>
          <w:p w14:paraId="2C1D4D56" w14:textId="440AEF54" w:rsidR="00A94A10" w:rsidRPr="00AE58C7" w:rsidRDefault="00A94A10" w:rsidP="00BE68EC">
            <w:pPr>
              <w:jc w:val="center"/>
              <w:rPr>
                <w:sz w:val="16"/>
                <w:szCs w:val="16"/>
              </w:rPr>
            </w:pPr>
            <w:r>
              <w:rPr>
                <w:sz w:val="16"/>
                <w:szCs w:val="16"/>
              </w:rPr>
              <w:t>(0.00</w:t>
            </w:r>
            <w:r w:rsidR="00FA679F">
              <w:rPr>
                <w:sz w:val="16"/>
                <w:szCs w:val="16"/>
              </w:rPr>
              <w:t>8</w:t>
            </w:r>
            <w:r>
              <w:rPr>
                <w:sz w:val="16"/>
                <w:szCs w:val="16"/>
              </w:rPr>
              <w:t>)</w:t>
            </w:r>
          </w:p>
        </w:tc>
        <w:tc>
          <w:tcPr>
            <w:tcW w:w="1572" w:type="dxa"/>
            <w:gridSpan w:val="2"/>
            <w:tcBorders>
              <w:bottom w:val="nil"/>
              <w:right w:val="single" w:sz="4" w:space="0" w:color="auto"/>
            </w:tcBorders>
            <w:vAlign w:val="center"/>
          </w:tcPr>
          <w:p w14:paraId="7B2CB4E1" w14:textId="1EFD8AEB" w:rsidR="00A94A10" w:rsidRDefault="00A94A10" w:rsidP="00BE68EC">
            <w:pPr>
              <w:jc w:val="center"/>
              <w:rPr>
                <w:sz w:val="16"/>
                <w:szCs w:val="16"/>
              </w:rPr>
            </w:pPr>
            <w:r>
              <w:rPr>
                <w:sz w:val="16"/>
                <w:szCs w:val="16"/>
              </w:rPr>
              <w:t>-0.0</w:t>
            </w:r>
            <w:r w:rsidR="00615F86">
              <w:rPr>
                <w:sz w:val="16"/>
                <w:szCs w:val="16"/>
              </w:rPr>
              <w:t>30</w:t>
            </w:r>
            <w:r>
              <w:rPr>
                <w:sz w:val="16"/>
                <w:szCs w:val="16"/>
              </w:rPr>
              <w:t>***</w:t>
            </w:r>
          </w:p>
          <w:p w14:paraId="7D24175E" w14:textId="14445B7D" w:rsidR="00A94A10" w:rsidRPr="00AE58C7" w:rsidRDefault="00A94A10" w:rsidP="00BE68EC">
            <w:pPr>
              <w:jc w:val="center"/>
              <w:rPr>
                <w:sz w:val="16"/>
                <w:szCs w:val="16"/>
              </w:rPr>
            </w:pPr>
            <w:r>
              <w:rPr>
                <w:sz w:val="16"/>
                <w:szCs w:val="16"/>
              </w:rPr>
              <w:t>(0.00</w:t>
            </w:r>
            <w:r w:rsidR="00615F86">
              <w:rPr>
                <w:sz w:val="16"/>
                <w:szCs w:val="16"/>
              </w:rPr>
              <w:t>8</w:t>
            </w:r>
            <w:r>
              <w:rPr>
                <w:sz w:val="16"/>
                <w:szCs w:val="16"/>
              </w:rPr>
              <w:t>)</w:t>
            </w:r>
          </w:p>
        </w:tc>
        <w:tc>
          <w:tcPr>
            <w:tcW w:w="1571" w:type="dxa"/>
            <w:tcBorders>
              <w:left w:val="single" w:sz="4" w:space="0" w:color="auto"/>
              <w:bottom w:val="nil"/>
            </w:tcBorders>
          </w:tcPr>
          <w:p w14:paraId="6CA16642" w14:textId="028B4A57" w:rsidR="00A94A10" w:rsidRDefault="00A94A10" w:rsidP="00BE68EC">
            <w:pPr>
              <w:jc w:val="center"/>
              <w:rPr>
                <w:sz w:val="16"/>
                <w:szCs w:val="16"/>
              </w:rPr>
            </w:pPr>
            <w:r>
              <w:rPr>
                <w:sz w:val="16"/>
                <w:szCs w:val="16"/>
              </w:rPr>
              <w:t>0.03</w:t>
            </w:r>
            <w:r w:rsidR="009C16B9">
              <w:rPr>
                <w:sz w:val="16"/>
                <w:szCs w:val="16"/>
              </w:rPr>
              <w:t>8</w:t>
            </w:r>
            <w:r>
              <w:rPr>
                <w:sz w:val="16"/>
                <w:szCs w:val="16"/>
              </w:rPr>
              <w:t>***</w:t>
            </w:r>
          </w:p>
          <w:p w14:paraId="06DCEE96" w14:textId="514890DD" w:rsidR="00A94A10" w:rsidRPr="00AE58C7" w:rsidRDefault="00A94A10" w:rsidP="00BE68EC">
            <w:pPr>
              <w:jc w:val="center"/>
              <w:rPr>
                <w:sz w:val="16"/>
                <w:szCs w:val="16"/>
              </w:rPr>
            </w:pPr>
            <w:r>
              <w:rPr>
                <w:sz w:val="16"/>
                <w:szCs w:val="16"/>
              </w:rPr>
              <w:t>(0.00</w:t>
            </w:r>
            <w:r w:rsidR="009C16B9">
              <w:rPr>
                <w:sz w:val="16"/>
                <w:szCs w:val="16"/>
              </w:rPr>
              <w:t>9</w:t>
            </w:r>
            <w:r>
              <w:rPr>
                <w:sz w:val="16"/>
                <w:szCs w:val="16"/>
              </w:rPr>
              <w:t>)</w:t>
            </w:r>
          </w:p>
        </w:tc>
        <w:tc>
          <w:tcPr>
            <w:tcW w:w="1572" w:type="dxa"/>
            <w:tcBorders>
              <w:bottom w:val="nil"/>
            </w:tcBorders>
          </w:tcPr>
          <w:p w14:paraId="64B9A6AA" w14:textId="439FA9B1" w:rsidR="00A94A10" w:rsidRDefault="00A94A10" w:rsidP="00BE68EC">
            <w:pPr>
              <w:jc w:val="center"/>
              <w:rPr>
                <w:sz w:val="16"/>
                <w:szCs w:val="16"/>
              </w:rPr>
            </w:pPr>
            <w:r>
              <w:rPr>
                <w:sz w:val="16"/>
                <w:szCs w:val="16"/>
              </w:rPr>
              <w:t>0.03</w:t>
            </w:r>
            <w:r w:rsidR="00ED49C2">
              <w:rPr>
                <w:sz w:val="16"/>
                <w:szCs w:val="16"/>
              </w:rPr>
              <w:t>6</w:t>
            </w:r>
            <w:r>
              <w:rPr>
                <w:sz w:val="16"/>
                <w:szCs w:val="16"/>
              </w:rPr>
              <w:t>***</w:t>
            </w:r>
          </w:p>
          <w:p w14:paraId="413BAE1C" w14:textId="5F1CEF1F" w:rsidR="00A94A10" w:rsidRPr="00AE58C7" w:rsidRDefault="00A94A10" w:rsidP="00BE68EC">
            <w:pPr>
              <w:jc w:val="center"/>
              <w:rPr>
                <w:sz w:val="16"/>
                <w:szCs w:val="16"/>
              </w:rPr>
            </w:pPr>
            <w:r>
              <w:rPr>
                <w:sz w:val="16"/>
                <w:szCs w:val="16"/>
              </w:rPr>
              <w:t>(0.00</w:t>
            </w:r>
            <w:r w:rsidR="00ED49C2">
              <w:rPr>
                <w:sz w:val="16"/>
                <w:szCs w:val="16"/>
              </w:rPr>
              <w:t>8</w:t>
            </w:r>
            <w:r>
              <w:rPr>
                <w:sz w:val="16"/>
                <w:szCs w:val="16"/>
              </w:rPr>
              <w:t>)</w:t>
            </w:r>
          </w:p>
        </w:tc>
      </w:tr>
      <w:tr w:rsidR="00A94A10" w:rsidRPr="00AE58C7" w14:paraId="06E9C574" w14:textId="77777777" w:rsidTr="00BE68EC">
        <w:tc>
          <w:tcPr>
            <w:tcW w:w="2740" w:type="dxa"/>
            <w:tcBorders>
              <w:top w:val="nil"/>
              <w:bottom w:val="nil"/>
            </w:tcBorders>
            <w:vAlign w:val="center"/>
          </w:tcPr>
          <w:p w14:paraId="120A76BF" w14:textId="77777777" w:rsidR="00A94A10" w:rsidRPr="00AE58C7" w:rsidRDefault="00A94A10" w:rsidP="00BE68EC">
            <w:pPr>
              <w:rPr>
                <w:sz w:val="16"/>
                <w:szCs w:val="16"/>
              </w:rPr>
            </w:pPr>
            <w:r w:rsidRPr="00AE58C7">
              <w:rPr>
                <w:sz w:val="16"/>
                <w:szCs w:val="16"/>
              </w:rPr>
              <w:t xml:space="preserve">Few people to count on </w:t>
            </w:r>
          </w:p>
        </w:tc>
        <w:tc>
          <w:tcPr>
            <w:tcW w:w="1571" w:type="dxa"/>
            <w:tcBorders>
              <w:top w:val="nil"/>
              <w:bottom w:val="nil"/>
            </w:tcBorders>
            <w:vAlign w:val="center"/>
          </w:tcPr>
          <w:p w14:paraId="367A3D74" w14:textId="0924954E" w:rsidR="00A94A10" w:rsidRDefault="00A94A10" w:rsidP="00BE68EC">
            <w:pPr>
              <w:jc w:val="center"/>
              <w:rPr>
                <w:sz w:val="16"/>
                <w:szCs w:val="16"/>
              </w:rPr>
            </w:pPr>
            <w:r>
              <w:rPr>
                <w:sz w:val="16"/>
                <w:szCs w:val="16"/>
              </w:rPr>
              <w:t>0.0</w:t>
            </w:r>
            <w:r w:rsidR="00FA679F">
              <w:rPr>
                <w:sz w:val="16"/>
                <w:szCs w:val="16"/>
              </w:rPr>
              <w:t>63</w:t>
            </w:r>
            <w:r>
              <w:rPr>
                <w:sz w:val="16"/>
                <w:szCs w:val="16"/>
              </w:rPr>
              <w:t>***</w:t>
            </w:r>
          </w:p>
          <w:p w14:paraId="0A944A3C" w14:textId="69F00E33" w:rsidR="00A94A10" w:rsidRPr="00AE58C7" w:rsidRDefault="00A94A10" w:rsidP="00BE68EC">
            <w:pPr>
              <w:jc w:val="center"/>
              <w:rPr>
                <w:sz w:val="16"/>
                <w:szCs w:val="16"/>
              </w:rPr>
            </w:pPr>
            <w:r>
              <w:rPr>
                <w:sz w:val="16"/>
                <w:szCs w:val="16"/>
              </w:rPr>
              <w:t>(0.00</w:t>
            </w:r>
            <w:r w:rsidR="00FA679F">
              <w:rPr>
                <w:sz w:val="16"/>
                <w:szCs w:val="16"/>
              </w:rPr>
              <w:t>8</w:t>
            </w:r>
            <w:r>
              <w:rPr>
                <w:sz w:val="16"/>
                <w:szCs w:val="16"/>
              </w:rPr>
              <w:t>)</w:t>
            </w:r>
          </w:p>
        </w:tc>
        <w:tc>
          <w:tcPr>
            <w:tcW w:w="1572" w:type="dxa"/>
            <w:gridSpan w:val="2"/>
            <w:tcBorders>
              <w:top w:val="nil"/>
              <w:bottom w:val="nil"/>
              <w:right w:val="single" w:sz="4" w:space="0" w:color="auto"/>
            </w:tcBorders>
            <w:vAlign w:val="center"/>
          </w:tcPr>
          <w:p w14:paraId="75F09106" w14:textId="01AABB40" w:rsidR="00A94A10" w:rsidRDefault="00A94A10" w:rsidP="00BE68EC">
            <w:pPr>
              <w:jc w:val="center"/>
              <w:rPr>
                <w:sz w:val="16"/>
                <w:szCs w:val="16"/>
              </w:rPr>
            </w:pPr>
            <w:r>
              <w:rPr>
                <w:sz w:val="16"/>
                <w:szCs w:val="16"/>
              </w:rPr>
              <w:t>0.0</w:t>
            </w:r>
            <w:r w:rsidR="00615F86">
              <w:rPr>
                <w:sz w:val="16"/>
                <w:szCs w:val="16"/>
              </w:rPr>
              <w:t>54</w:t>
            </w:r>
            <w:r>
              <w:rPr>
                <w:sz w:val="16"/>
                <w:szCs w:val="16"/>
              </w:rPr>
              <w:t>***</w:t>
            </w:r>
          </w:p>
          <w:p w14:paraId="28F879FC" w14:textId="3856CBB1" w:rsidR="00A94A10" w:rsidRPr="00AE58C7" w:rsidRDefault="00A94A10" w:rsidP="00BE68EC">
            <w:pPr>
              <w:jc w:val="center"/>
              <w:rPr>
                <w:sz w:val="16"/>
                <w:szCs w:val="16"/>
              </w:rPr>
            </w:pPr>
            <w:r>
              <w:rPr>
                <w:sz w:val="16"/>
                <w:szCs w:val="16"/>
              </w:rPr>
              <w:t>(0.00</w:t>
            </w:r>
            <w:r w:rsidR="00C2685B">
              <w:rPr>
                <w:sz w:val="16"/>
                <w:szCs w:val="16"/>
              </w:rPr>
              <w:t>8</w:t>
            </w:r>
            <w:r>
              <w:rPr>
                <w:sz w:val="16"/>
                <w:szCs w:val="16"/>
              </w:rPr>
              <w:t>)</w:t>
            </w:r>
          </w:p>
        </w:tc>
        <w:tc>
          <w:tcPr>
            <w:tcW w:w="1571" w:type="dxa"/>
            <w:tcBorders>
              <w:top w:val="nil"/>
              <w:left w:val="single" w:sz="4" w:space="0" w:color="auto"/>
              <w:bottom w:val="nil"/>
            </w:tcBorders>
          </w:tcPr>
          <w:p w14:paraId="5F6C741D" w14:textId="2BB8E9DE" w:rsidR="00A94A10" w:rsidRDefault="00A94A10" w:rsidP="00BE68EC">
            <w:pPr>
              <w:jc w:val="center"/>
              <w:rPr>
                <w:sz w:val="16"/>
                <w:szCs w:val="16"/>
              </w:rPr>
            </w:pPr>
            <w:r>
              <w:rPr>
                <w:sz w:val="16"/>
                <w:szCs w:val="16"/>
              </w:rPr>
              <w:t>-0.0</w:t>
            </w:r>
            <w:r w:rsidR="009C16B9">
              <w:rPr>
                <w:sz w:val="16"/>
                <w:szCs w:val="16"/>
              </w:rPr>
              <w:t>63</w:t>
            </w:r>
            <w:r>
              <w:rPr>
                <w:sz w:val="16"/>
                <w:szCs w:val="16"/>
              </w:rPr>
              <w:t>***</w:t>
            </w:r>
          </w:p>
          <w:p w14:paraId="5EAF65E2" w14:textId="000A40CC" w:rsidR="00A94A10" w:rsidRPr="00AE58C7" w:rsidRDefault="00A94A10" w:rsidP="00BE68EC">
            <w:pPr>
              <w:jc w:val="center"/>
              <w:rPr>
                <w:sz w:val="16"/>
                <w:szCs w:val="16"/>
              </w:rPr>
            </w:pPr>
            <w:r>
              <w:rPr>
                <w:sz w:val="16"/>
                <w:szCs w:val="16"/>
              </w:rPr>
              <w:t>(0.00</w:t>
            </w:r>
            <w:r w:rsidR="009C16B9">
              <w:rPr>
                <w:sz w:val="16"/>
                <w:szCs w:val="16"/>
              </w:rPr>
              <w:t>9</w:t>
            </w:r>
            <w:r>
              <w:rPr>
                <w:sz w:val="16"/>
                <w:szCs w:val="16"/>
              </w:rPr>
              <w:t>)</w:t>
            </w:r>
          </w:p>
        </w:tc>
        <w:tc>
          <w:tcPr>
            <w:tcW w:w="1572" w:type="dxa"/>
            <w:tcBorders>
              <w:top w:val="nil"/>
              <w:bottom w:val="nil"/>
            </w:tcBorders>
          </w:tcPr>
          <w:p w14:paraId="09E477C8" w14:textId="6A07E189" w:rsidR="00A94A10" w:rsidRDefault="00A94A10" w:rsidP="00BE68EC">
            <w:pPr>
              <w:jc w:val="center"/>
              <w:rPr>
                <w:sz w:val="16"/>
                <w:szCs w:val="16"/>
              </w:rPr>
            </w:pPr>
            <w:r>
              <w:rPr>
                <w:sz w:val="16"/>
                <w:szCs w:val="16"/>
              </w:rPr>
              <w:t>-0.0</w:t>
            </w:r>
            <w:r w:rsidR="00ED49C2">
              <w:rPr>
                <w:sz w:val="16"/>
                <w:szCs w:val="16"/>
              </w:rPr>
              <w:t>54</w:t>
            </w:r>
            <w:r>
              <w:rPr>
                <w:sz w:val="16"/>
                <w:szCs w:val="16"/>
              </w:rPr>
              <w:t>***</w:t>
            </w:r>
          </w:p>
          <w:p w14:paraId="1CD3DD9E" w14:textId="5CA644F2" w:rsidR="00A94A10" w:rsidRPr="00AE58C7" w:rsidRDefault="00A94A10" w:rsidP="00BE68EC">
            <w:pPr>
              <w:jc w:val="center"/>
              <w:rPr>
                <w:sz w:val="16"/>
                <w:szCs w:val="16"/>
              </w:rPr>
            </w:pPr>
            <w:r>
              <w:rPr>
                <w:sz w:val="16"/>
                <w:szCs w:val="16"/>
              </w:rPr>
              <w:t>(0.00</w:t>
            </w:r>
            <w:r w:rsidR="00ED49C2">
              <w:rPr>
                <w:sz w:val="16"/>
                <w:szCs w:val="16"/>
              </w:rPr>
              <w:t>9</w:t>
            </w:r>
            <w:r>
              <w:rPr>
                <w:sz w:val="16"/>
                <w:szCs w:val="16"/>
              </w:rPr>
              <w:t>)</w:t>
            </w:r>
          </w:p>
        </w:tc>
      </w:tr>
      <w:tr w:rsidR="00A94A10" w:rsidRPr="00AE58C7" w14:paraId="62CB38B5" w14:textId="77777777" w:rsidTr="00A46605">
        <w:tc>
          <w:tcPr>
            <w:tcW w:w="2740" w:type="dxa"/>
            <w:tcBorders>
              <w:top w:val="nil"/>
              <w:bottom w:val="single" w:sz="4" w:space="0" w:color="auto"/>
            </w:tcBorders>
            <w:vAlign w:val="center"/>
          </w:tcPr>
          <w:p w14:paraId="71FEACCE" w14:textId="77777777" w:rsidR="003D6D4C" w:rsidRDefault="00A94A10" w:rsidP="00BE68EC">
            <w:pPr>
              <w:rPr>
                <w:sz w:val="16"/>
                <w:szCs w:val="16"/>
              </w:rPr>
            </w:pPr>
            <w:r>
              <w:rPr>
                <w:sz w:val="16"/>
                <w:szCs w:val="16"/>
              </w:rPr>
              <w:t>Year dummy – 202</w:t>
            </w:r>
            <w:r w:rsidR="003D6D4C">
              <w:rPr>
                <w:sz w:val="16"/>
                <w:szCs w:val="16"/>
              </w:rPr>
              <w:t>1</w:t>
            </w:r>
            <w:r>
              <w:rPr>
                <w:sz w:val="16"/>
                <w:szCs w:val="16"/>
              </w:rPr>
              <w:t xml:space="preserve"> </w:t>
            </w:r>
          </w:p>
          <w:p w14:paraId="51489874" w14:textId="1B5A4B12" w:rsidR="00A94A10" w:rsidRPr="00AE58C7" w:rsidRDefault="00A94A10" w:rsidP="00BE68EC">
            <w:pPr>
              <w:rPr>
                <w:sz w:val="16"/>
                <w:szCs w:val="16"/>
              </w:rPr>
            </w:pPr>
            <w:r w:rsidRPr="003D6D4C">
              <w:rPr>
                <w:i/>
                <w:iCs/>
                <w:sz w:val="16"/>
                <w:szCs w:val="16"/>
              </w:rPr>
              <w:t>(ref: 202</w:t>
            </w:r>
            <w:r w:rsidR="003D6D4C" w:rsidRPr="003D6D4C">
              <w:rPr>
                <w:i/>
                <w:iCs/>
                <w:sz w:val="16"/>
                <w:szCs w:val="16"/>
              </w:rPr>
              <w:t>3</w:t>
            </w:r>
            <w:r w:rsidRPr="003D6D4C">
              <w:rPr>
                <w:i/>
                <w:iCs/>
                <w:sz w:val="16"/>
                <w:szCs w:val="16"/>
              </w:rPr>
              <w:t>)</w:t>
            </w:r>
          </w:p>
        </w:tc>
        <w:tc>
          <w:tcPr>
            <w:tcW w:w="1571" w:type="dxa"/>
            <w:tcBorders>
              <w:top w:val="nil"/>
              <w:bottom w:val="single" w:sz="4" w:space="0" w:color="auto"/>
            </w:tcBorders>
            <w:shd w:val="clear" w:color="auto" w:fill="E8E8E8" w:themeFill="background2"/>
            <w:vAlign w:val="center"/>
          </w:tcPr>
          <w:p w14:paraId="690D8583" w14:textId="20FD52ED" w:rsidR="00A94A10" w:rsidRPr="00FA679F" w:rsidRDefault="00A94A10" w:rsidP="00BE68EC">
            <w:pPr>
              <w:jc w:val="center"/>
              <w:rPr>
                <w:sz w:val="16"/>
                <w:szCs w:val="16"/>
                <w:vertAlign w:val="superscript"/>
              </w:rPr>
            </w:pPr>
            <w:r>
              <w:rPr>
                <w:sz w:val="16"/>
                <w:szCs w:val="16"/>
              </w:rPr>
              <w:t>0.01</w:t>
            </w:r>
            <w:r w:rsidR="00FA679F">
              <w:rPr>
                <w:sz w:val="16"/>
                <w:szCs w:val="16"/>
              </w:rPr>
              <w:t>4</w:t>
            </w:r>
            <w:r w:rsidR="00FA679F">
              <w:rPr>
                <w:sz w:val="16"/>
                <w:szCs w:val="16"/>
                <w:vertAlign w:val="superscript"/>
              </w:rPr>
              <w:t>+</w:t>
            </w:r>
          </w:p>
          <w:p w14:paraId="46C7D798" w14:textId="30C51E87" w:rsidR="00A94A10" w:rsidRPr="00AE58C7" w:rsidRDefault="00A94A10" w:rsidP="00BE68EC">
            <w:pPr>
              <w:jc w:val="center"/>
              <w:rPr>
                <w:sz w:val="16"/>
                <w:szCs w:val="16"/>
              </w:rPr>
            </w:pPr>
            <w:r>
              <w:rPr>
                <w:sz w:val="16"/>
                <w:szCs w:val="16"/>
              </w:rPr>
              <w:t>(0.00</w:t>
            </w:r>
            <w:r w:rsidR="00FA679F">
              <w:rPr>
                <w:sz w:val="16"/>
                <w:szCs w:val="16"/>
              </w:rPr>
              <w:t>7</w:t>
            </w:r>
            <w:r>
              <w:rPr>
                <w:sz w:val="16"/>
                <w:szCs w:val="16"/>
              </w:rPr>
              <w:t>)</w:t>
            </w:r>
          </w:p>
        </w:tc>
        <w:tc>
          <w:tcPr>
            <w:tcW w:w="1572" w:type="dxa"/>
            <w:gridSpan w:val="2"/>
            <w:tcBorders>
              <w:top w:val="nil"/>
              <w:bottom w:val="single" w:sz="4" w:space="0" w:color="auto"/>
              <w:right w:val="single" w:sz="4" w:space="0" w:color="auto"/>
            </w:tcBorders>
            <w:shd w:val="clear" w:color="auto" w:fill="E8E8E8" w:themeFill="background2"/>
            <w:vAlign w:val="center"/>
          </w:tcPr>
          <w:p w14:paraId="7BA6B65C" w14:textId="019D63D0" w:rsidR="00A94A10" w:rsidRDefault="00A94A10" w:rsidP="00BE68EC">
            <w:pPr>
              <w:jc w:val="center"/>
              <w:rPr>
                <w:sz w:val="16"/>
                <w:szCs w:val="16"/>
              </w:rPr>
            </w:pPr>
            <w:r>
              <w:rPr>
                <w:sz w:val="16"/>
                <w:szCs w:val="16"/>
              </w:rPr>
              <w:t>0.0</w:t>
            </w:r>
            <w:r w:rsidR="00C2685B">
              <w:rPr>
                <w:sz w:val="16"/>
                <w:szCs w:val="16"/>
              </w:rPr>
              <w:t>08</w:t>
            </w:r>
          </w:p>
          <w:p w14:paraId="45AEE6F3" w14:textId="52F575F5" w:rsidR="00A94A10" w:rsidRPr="00AE58C7" w:rsidRDefault="00A94A10" w:rsidP="00BE68EC">
            <w:pPr>
              <w:jc w:val="center"/>
              <w:rPr>
                <w:sz w:val="16"/>
                <w:szCs w:val="16"/>
              </w:rPr>
            </w:pPr>
            <w:r>
              <w:rPr>
                <w:sz w:val="16"/>
                <w:szCs w:val="16"/>
              </w:rPr>
              <w:t>(0.00</w:t>
            </w:r>
            <w:r w:rsidR="00C2685B">
              <w:rPr>
                <w:sz w:val="16"/>
                <w:szCs w:val="16"/>
              </w:rPr>
              <w:t>7</w:t>
            </w:r>
            <w:r>
              <w:rPr>
                <w:sz w:val="16"/>
                <w:szCs w:val="16"/>
              </w:rPr>
              <w:t>)</w:t>
            </w:r>
          </w:p>
        </w:tc>
        <w:tc>
          <w:tcPr>
            <w:tcW w:w="1571" w:type="dxa"/>
            <w:tcBorders>
              <w:top w:val="nil"/>
              <w:left w:val="single" w:sz="4" w:space="0" w:color="auto"/>
              <w:bottom w:val="single" w:sz="4" w:space="0" w:color="auto"/>
            </w:tcBorders>
            <w:shd w:val="clear" w:color="auto" w:fill="F1A983" w:themeFill="accent2" w:themeFillTint="99"/>
          </w:tcPr>
          <w:p w14:paraId="61DED81C" w14:textId="085EFC71" w:rsidR="00A94A10" w:rsidRDefault="00C87DEC" w:rsidP="00BE68EC">
            <w:pPr>
              <w:jc w:val="center"/>
              <w:rPr>
                <w:sz w:val="16"/>
                <w:szCs w:val="16"/>
              </w:rPr>
            </w:pPr>
            <w:r>
              <w:rPr>
                <w:sz w:val="16"/>
                <w:szCs w:val="16"/>
              </w:rPr>
              <w:t>-</w:t>
            </w:r>
            <w:r w:rsidR="00A94A10">
              <w:rPr>
                <w:sz w:val="16"/>
                <w:szCs w:val="16"/>
              </w:rPr>
              <w:t>0.11</w:t>
            </w:r>
            <w:r w:rsidR="009C16B9">
              <w:rPr>
                <w:sz w:val="16"/>
                <w:szCs w:val="16"/>
              </w:rPr>
              <w:t>1</w:t>
            </w:r>
            <w:r w:rsidR="00A94A10">
              <w:rPr>
                <w:sz w:val="16"/>
                <w:szCs w:val="16"/>
              </w:rPr>
              <w:t>***</w:t>
            </w:r>
          </w:p>
          <w:p w14:paraId="3D15903A" w14:textId="2423DEF6" w:rsidR="00A94A10" w:rsidRPr="00AE58C7" w:rsidRDefault="00A94A10" w:rsidP="00BE68EC">
            <w:pPr>
              <w:jc w:val="center"/>
              <w:rPr>
                <w:sz w:val="16"/>
                <w:szCs w:val="16"/>
              </w:rPr>
            </w:pPr>
            <w:r>
              <w:rPr>
                <w:sz w:val="16"/>
                <w:szCs w:val="16"/>
              </w:rPr>
              <w:t>(0.00</w:t>
            </w:r>
            <w:r w:rsidR="009C16B9">
              <w:rPr>
                <w:sz w:val="16"/>
                <w:szCs w:val="16"/>
              </w:rPr>
              <w:t>8</w:t>
            </w:r>
            <w:r>
              <w:rPr>
                <w:sz w:val="16"/>
                <w:szCs w:val="16"/>
              </w:rPr>
              <w:t>)</w:t>
            </w:r>
          </w:p>
        </w:tc>
        <w:tc>
          <w:tcPr>
            <w:tcW w:w="1572" w:type="dxa"/>
            <w:tcBorders>
              <w:top w:val="nil"/>
              <w:bottom w:val="single" w:sz="4" w:space="0" w:color="auto"/>
            </w:tcBorders>
            <w:shd w:val="clear" w:color="auto" w:fill="F1A983" w:themeFill="accent2" w:themeFillTint="99"/>
          </w:tcPr>
          <w:p w14:paraId="7F4AC3AE" w14:textId="157BCE55" w:rsidR="00A94A10" w:rsidRDefault="009C66C4" w:rsidP="00BE68EC">
            <w:pPr>
              <w:jc w:val="center"/>
              <w:rPr>
                <w:sz w:val="16"/>
                <w:szCs w:val="16"/>
              </w:rPr>
            </w:pPr>
            <w:r>
              <w:rPr>
                <w:sz w:val="16"/>
                <w:szCs w:val="16"/>
              </w:rPr>
              <w:t>-</w:t>
            </w:r>
            <w:r w:rsidR="00A94A10">
              <w:rPr>
                <w:sz w:val="16"/>
                <w:szCs w:val="16"/>
              </w:rPr>
              <w:t>0.1</w:t>
            </w:r>
            <w:r>
              <w:rPr>
                <w:sz w:val="16"/>
                <w:szCs w:val="16"/>
              </w:rPr>
              <w:t>05</w:t>
            </w:r>
            <w:r w:rsidR="00A94A10">
              <w:rPr>
                <w:sz w:val="16"/>
                <w:szCs w:val="16"/>
              </w:rPr>
              <w:t>***</w:t>
            </w:r>
          </w:p>
          <w:p w14:paraId="7241D668" w14:textId="315701D4" w:rsidR="00A94A10" w:rsidRPr="00AE58C7" w:rsidRDefault="00A94A10" w:rsidP="00BE68EC">
            <w:pPr>
              <w:jc w:val="center"/>
              <w:rPr>
                <w:sz w:val="16"/>
                <w:szCs w:val="16"/>
              </w:rPr>
            </w:pPr>
            <w:r>
              <w:rPr>
                <w:sz w:val="16"/>
                <w:szCs w:val="16"/>
              </w:rPr>
              <w:t>(0.00</w:t>
            </w:r>
            <w:r w:rsidR="009C66C4">
              <w:rPr>
                <w:sz w:val="16"/>
                <w:szCs w:val="16"/>
              </w:rPr>
              <w:t>8</w:t>
            </w:r>
            <w:r>
              <w:rPr>
                <w:sz w:val="16"/>
                <w:szCs w:val="16"/>
              </w:rPr>
              <w:t>)</w:t>
            </w:r>
          </w:p>
        </w:tc>
      </w:tr>
      <w:tr w:rsidR="00A94A10" w:rsidRPr="00AE58C7" w14:paraId="3EBC068A" w14:textId="77777777" w:rsidTr="00BE68EC">
        <w:tc>
          <w:tcPr>
            <w:tcW w:w="2740" w:type="dxa"/>
            <w:tcBorders>
              <w:top w:val="single" w:sz="4" w:space="0" w:color="auto"/>
            </w:tcBorders>
            <w:vAlign w:val="center"/>
          </w:tcPr>
          <w:p w14:paraId="294B6B5F" w14:textId="77777777" w:rsidR="00A94A10" w:rsidRPr="00AE58C7" w:rsidRDefault="00A94A10" w:rsidP="00BE68EC">
            <w:pPr>
              <w:rPr>
                <w:sz w:val="16"/>
                <w:szCs w:val="16"/>
                <w:vertAlign w:val="superscript"/>
              </w:rPr>
            </w:pPr>
            <w:r w:rsidRPr="00AE58C7">
              <w:rPr>
                <w:sz w:val="16"/>
                <w:szCs w:val="16"/>
              </w:rPr>
              <w:t>Pseudo R</w:t>
            </w:r>
            <w:r w:rsidRPr="00AE58C7">
              <w:rPr>
                <w:sz w:val="16"/>
                <w:szCs w:val="16"/>
                <w:vertAlign w:val="superscript"/>
              </w:rPr>
              <w:t>2</w:t>
            </w:r>
          </w:p>
        </w:tc>
        <w:tc>
          <w:tcPr>
            <w:tcW w:w="1571" w:type="dxa"/>
            <w:tcBorders>
              <w:top w:val="single" w:sz="4" w:space="0" w:color="auto"/>
            </w:tcBorders>
            <w:vAlign w:val="center"/>
          </w:tcPr>
          <w:p w14:paraId="4D62D967" w14:textId="4923FFF3" w:rsidR="00A94A10" w:rsidRPr="00AE58C7" w:rsidRDefault="00A94A10" w:rsidP="00BE68EC">
            <w:pPr>
              <w:jc w:val="center"/>
              <w:rPr>
                <w:sz w:val="16"/>
                <w:szCs w:val="16"/>
              </w:rPr>
            </w:pPr>
            <w:r>
              <w:rPr>
                <w:sz w:val="16"/>
                <w:szCs w:val="16"/>
              </w:rPr>
              <w:t>0.1</w:t>
            </w:r>
            <w:r w:rsidR="00B50DCE">
              <w:rPr>
                <w:sz w:val="16"/>
                <w:szCs w:val="16"/>
              </w:rPr>
              <w:t>99</w:t>
            </w:r>
          </w:p>
        </w:tc>
        <w:tc>
          <w:tcPr>
            <w:tcW w:w="1572" w:type="dxa"/>
            <w:gridSpan w:val="2"/>
            <w:tcBorders>
              <w:top w:val="single" w:sz="4" w:space="0" w:color="auto"/>
              <w:right w:val="single" w:sz="4" w:space="0" w:color="auto"/>
            </w:tcBorders>
            <w:vAlign w:val="center"/>
          </w:tcPr>
          <w:p w14:paraId="643B1F9B" w14:textId="370FFA12" w:rsidR="00A94A10" w:rsidRPr="00AE58C7" w:rsidRDefault="00A94A10" w:rsidP="00BE68EC">
            <w:pPr>
              <w:jc w:val="center"/>
              <w:rPr>
                <w:sz w:val="16"/>
                <w:szCs w:val="16"/>
              </w:rPr>
            </w:pPr>
            <w:r>
              <w:rPr>
                <w:sz w:val="16"/>
                <w:szCs w:val="16"/>
              </w:rPr>
              <w:t>0.2</w:t>
            </w:r>
            <w:r w:rsidR="00C2685B">
              <w:rPr>
                <w:sz w:val="16"/>
                <w:szCs w:val="16"/>
              </w:rPr>
              <w:t>16</w:t>
            </w:r>
          </w:p>
        </w:tc>
        <w:tc>
          <w:tcPr>
            <w:tcW w:w="1571" w:type="dxa"/>
            <w:tcBorders>
              <w:top w:val="single" w:sz="4" w:space="0" w:color="auto"/>
              <w:left w:val="single" w:sz="4" w:space="0" w:color="auto"/>
            </w:tcBorders>
          </w:tcPr>
          <w:p w14:paraId="4B385952" w14:textId="55D6E5B7" w:rsidR="00A94A10" w:rsidRPr="00AE58C7" w:rsidRDefault="00A94A10" w:rsidP="00BE68EC">
            <w:pPr>
              <w:jc w:val="center"/>
              <w:rPr>
                <w:sz w:val="16"/>
                <w:szCs w:val="16"/>
              </w:rPr>
            </w:pPr>
            <w:r>
              <w:rPr>
                <w:sz w:val="16"/>
                <w:szCs w:val="16"/>
              </w:rPr>
              <w:t>0.1</w:t>
            </w:r>
            <w:r w:rsidR="00A802AB">
              <w:rPr>
                <w:sz w:val="16"/>
                <w:szCs w:val="16"/>
              </w:rPr>
              <w:t>92</w:t>
            </w:r>
          </w:p>
        </w:tc>
        <w:tc>
          <w:tcPr>
            <w:tcW w:w="1572" w:type="dxa"/>
            <w:tcBorders>
              <w:top w:val="single" w:sz="4" w:space="0" w:color="auto"/>
            </w:tcBorders>
          </w:tcPr>
          <w:p w14:paraId="4BC77ABA" w14:textId="28990869" w:rsidR="00A94A10" w:rsidRPr="00AE58C7" w:rsidRDefault="00A94A10" w:rsidP="00BE68EC">
            <w:pPr>
              <w:jc w:val="center"/>
              <w:rPr>
                <w:sz w:val="16"/>
                <w:szCs w:val="16"/>
              </w:rPr>
            </w:pPr>
            <w:r>
              <w:rPr>
                <w:sz w:val="16"/>
                <w:szCs w:val="16"/>
              </w:rPr>
              <w:t>0.</w:t>
            </w:r>
            <w:r w:rsidR="00C87DEC">
              <w:rPr>
                <w:sz w:val="16"/>
                <w:szCs w:val="16"/>
              </w:rPr>
              <w:t>207</w:t>
            </w:r>
          </w:p>
        </w:tc>
      </w:tr>
      <w:tr w:rsidR="00A94A10" w:rsidRPr="00AE58C7" w14:paraId="5D06F538" w14:textId="77777777" w:rsidTr="00BE68EC">
        <w:tc>
          <w:tcPr>
            <w:tcW w:w="2740" w:type="dxa"/>
            <w:vAlign w:val="center"/>
          </w:tcPr>
          <w:p w14:paraId="4E53B539" w14:textId="77777777" w:rsidR="00A94A10" w:rsidRPr="00AE58C7" w:rsidRDefault="00A94A10" w:rsidP="00BE68EC">
            <w:pPr>
              <w:rPr>
                <w:sz w:val="16"/>
                <w:szCs w:val="16"/>
              </w:rPr>
            </w:pPr>
            <w:r w:rsidRPr="00AE58C7">
              <w:rPr>
                <w:sz w:val="16"/>
                <w:szCs w:val="16"/>
              </w:rPr>
              <w:t>Log-likelihood</w:t>
            </w:r>
          </w:p>
        </w:tc>
        <w:tc>
          <w:tcPr>
            <w:tcW w:w="1571" w:type="dxa"/>
            <w:vAlign w:val="center"/>
          </w:tcPr>
          <w:p w14:paraId="7C5C246B" w14:textId="30C4C3F9" w:rsidR="00A94A10" w:rsidRPr="00AE58C7" w:rsidRDefault="00A94A10" w:rsidP="00BE68EC">
            <w:pPr>
              <w:jc w:val="center"/>
              <w:rPr>
                <w:sz w:val="16"/>
                <w:szCs w:val="16"/>
              </w:rPr>
            </w:pPr>
            <w:r>
              <w:rPr>
                <w:sz w:val="16"/>
                <w:szCs w:val="16"/>
              </w:rPr>
              <w:t>-4</w:t>
            </w:r>
            <w:r w:rsidR="00B50DCE">
              <w:rPr>
                <w:sz w:val="16"/>
                <w:szCs w:val="16"/>
              </w:rPr>
              <w:t>692.3</w:t>
            </w:r>
          </w:p>
        </w:tc>
        <w:tc>
          <w:tcPr>
            <w:tcW w:w="1572" w:type="dxa"/>
            <w:gridSpan w:val="2"/>
            <w:tcBorders>
              <w:right w:val="single" w:sz="4" w:space="0" w:color="auto"/>
            </w:tcBorders>
            <w:vAlign w:val="center"/>
          </w:tcPr>
          <w:p w14:paraId="75EE1F78" w14:textId="2C49B16B" w:rsidR="00A94A10" w:rsidRPr="00AE58C7" w:rsidRDefault="00A94A10" w:rsidP="00BE68EC">
            <w:pPr>
              <w:jc w:val="center"/>
              <w:rPr>
                <w:sz w:val="16"/>
                <w:szCs w:val="16"/>
              </w:rPr>
            </w:pPr>
            <w:r>
              <w:rPr>
                <w:sz w:val="16"/>
                <w:szCs w:val="16"/>
              </w:rPr>
              <w:t>-</w:t>
            </w:r>
            <w:r w:rsidR="00C2685B">
              <w:rPr>
                <w:sz w:val="16"/>
                <w:szCs w:val="16"/>
              </w:rPr>
              <w:t>4595.1</w:t>
            </w:r>
          </w:p>
        </w:tc>
        <w:tc>
          <w:tcPr>
            <w:tcW w:w="1571" w:type="dxa"/>
            <w:tcBorders>
              <w:left w:val="single" w:sz="4" w:space="0" w:color="auto"/>
            </w:tcBorders>
          </w:tcPr>
          <w:p w14:paraId="4B3A2F83" w14:textId="3A301082" w:rsidR="00A94A10" w:rsidRPr="00AE58C7" w:rsidRDefault="00A94A10" w:rsidP="00BE68EC">
            <w:pPr>
              <w:jc w:val="center"/>
              <w:rPr>
                <w:sz w:val="16"/>
                <w:szCs w:val="16"/>
              </w:rPr>
            </w:pPr>
            <w:r>
              <w:rPr>
                <w:sz w:val="16"/>
                <w:szCs w:val="16"/>
              </w:rPr>
              <w:t>-5</w:t>
            </w:r>
            <w:r w:rsidR="00A802AB">
              <w:rPr>
                <w:sz w:val="16"/>
                <w:szCs w:val="16"/>
              </w:rPr>
              <w:t>900.9</w:t>
            </w:r>
          </w:p>
        </w:tc>
        <w:tc>
          <w:tcPr>
            <w:tcW w:w="1572" w:type="dxa"/>
          </w:tcPr>
          <w:p w14:paraId="123D843E" w14:textId="566D84AC" w:rsidR="00A94A10" w:rsidRPr="00AE58C7" w:rsidRDefault="00A94A10" w:rsidP="00BE68EC">
            <w:pPr>
              <w:jc w:val="center"/>
              <w:rPr>
                <w:sz w:val="16"/>
                <w:szCs w:val="16"/>
              </w:rPr>
            </w:pPr>
            <w:r>
              <w:rPr>
                <w:sz w:val="16"/>
                <w:szCs w:val="16"/>
              </w:rPr>
              <w:t>-5</w:t>
            </w:r>
            <w:r w:rsidR="00C87DEC">
              <w:rPr>
                <w:sz w:val="16"/>
                <w:szCs w:val="16"/>
              </w:rPr>
              <w:t>792.0</w:t>
            </w:r>
          </w:p>
        </w:tc>
      </w:tr>
      <w:tr w:rsidR="00A94A10" w:rsidRPr="00AE58C7" w14:paraId="4C9CF0E3" w14:textId="77777777" w:rsidTr="00BE68EC">
        <w:tc>
          <w:tcPr>
            <w:tcW w:w="2740" w:type="dxa"/>
            <w:tcBorders>
              <w:bottom w:val="single" w:sz="4" w:space="0" w:color="auto"/>
            </w:tcBorders>
            <w:vAlign w:val="center"/>
          </w:tcPr>
          <w:p w14:paraId="6EFA561C" w14:textId="77777777" w:rsidR="00A94A10" w:rsidRPr="00AE58C7" w:rsidRDefault="00A94A10" w:rsidP="00BE68EC">
            <w:pPr>
              <w:rPr>
                <w:sz w:val="16"/>
                <w:szCs w:val="16"/>
              </w:rPr>
            </w:pPr>
            <w:r w:rsidRPr="00AE58C7">
              <w:rPr>
                <w:sz w:val="16"/>
                <w:szCs w:val="16"/>
              </w:rPr>
              <w:t>N</w:t>
            </w:r>
          </w:p>
        </w:tc>
        <w:tc>
          <w:tcPr>
            <w:tcW w:w="1571" w:type="dxa"/>
            <w:tcBorders>
              <w:bottom w:val="single" w:sz="4" w:space="0" w:color="auto"/>
            </w:tcBorders>
            <w:vAlign w:val="center"/>
          </w:tcPr>
          <w:p w14:paraId="14C6582D" w14:textId="77777777" w:rsidR="00A94A10" w:rsidRPr="00AE58C7" w:rsidRDefault="00A94A10" w:rsidP="00BE68EC">
            <w:pPr>
              <w:jc w:val="center"/>
              <w:rPr>
                <w:sz w:val="16"/>
                <w:szCs w:val="16"/>
              </w:rPr>
            </w:pPr>
            <w:r>
              <w:rPr>
                <w:sz w:val="16"/>
                <w:szCs w:val="16"/>
              </w:rPr>
              <w:t>14,620</w:t>
            </w:r>
          </w:p>
        </w:tc>
        <w:tc>
          <w:tcPr>
            <w:tcW w:w="1572" w:type="dxa"/>
            <w:gridSpan w:val="2"/>
            <w:tcBorders>
              <w:bottom w:val="single" w:sz="4" w:space="0" w:color="auto"/>
              <w:right w:val="single" w:sz="4" w:space="0" w:color="auto"/>
            </w:tcBorders>
            <w:vAlign w:val="center"/>
          </w:tcPr>
          <w:p w14:paraId="18316E52" w14:textId="77777777" w:rsidR="00A94A10" w:rsidRPr="00AE58C7" w:rsidRDefault="00A94A10" w:rsidP="00BE68EC">
            <w:pPr>
              <w:jc w:val="center"/>
              <w:rPr>
                <w:sz w:val="16"/>
                <w:szCs w:val="16"/>
              </w:rPr>
            </w:pPr>
            <w:r>
              <w:rPr>
                <w:sz w:val="16"/>
                <w:szCs w:val="16"/>
              </w:rPr>
              <w:t>14,620</w:t>
            </w:r>
          </w:p>
        </w:tc>
        <w:tc>
          <w:tcPr>
            <w:tcW w:w="1571" w:type="dxa"/>
            <w:tcBorders>
              <w:left w:val="single" w:sz="4" w:space="0" w:color="auto"/>
              <w:bottom w:val="single" w:sz="4" w:space="0" w:color="auto"/>
            </w:tcBorders>
          </w:tcPr>
          <w:p w14:paraId="3B620D91" w14:textId="77777777" w:rsidR="00A94A10" w:rsidRPr="00AE58C7" w:rsidRDefault="00A94A10" w:rsidP="00BE68EC">
            <w:pPr>
              <w:jc w:val="center"/>
              <w:rPr>
                <w:sz w:val="16"/>
                <w:szCs w:val="16"/>
              </w:rPr>
            </w:pPr>
            <w:r>
              <w:rPr>
                <w:sz w:val="16"/>
                <w:szCs w:val="16"/>
              </w:rPr>
              <w:t>14,620</w:t>
            </w:r>
          </w:p>
        </w:tc>
        <w:tc>
          <w:tcPr>
            <w:tcW w:w="1572" w:type="dxa"/>
            <w:tcBorders>
              <w:bottom w:val="single" w:sz="4" w:space="0" w:color="auto"/>
            </w:tcBorders>
          </w:tcPr>
          <w:p w14:paraId="3BAF3BFB" w14:textId="77777777" w:rsidR="00A94A10" w:rsidRPr="00AE58C7" w:rsidRDefault="00A94A10" w:rsidP="00BE68EC">
            <w:pPr>
              <w:jc w:val="center"/>
              <w:rPr>
                <w:sz w:val="16"/>
                <w:szCs w:val="16"/>
              </w:rPr>
            </w:pPr>
            <w:r>
              <w:rPr>
                <w:sz w:val="16"/>
                <w:szCs w:val="16"/>
              </w:rPr>
              <w:t>14,620</w:t>
            </w:r>
          </w:p>
        </w:tc>
      </w:tr>
      <w:tr w:rsidR="00A94A10" w:rsidRPr="00AE58C7" w14:paraId="261DD71F" w14:textId="77777777" w:rsidTr="00BE68EC">
        <w:tc>
          <w:tcPr>
            <w:tcW w:w="9026" w:type="dxa"/>
            <w:gridSpan w:val="6"/>
            <w:tcBorders>
              <w:top w:val="single" w:sz="4" w:space="0" w:color="auto"/>
              <w:bottom w:val="single" w:sz="4" w:space="0" w:color="auto"/>
            </w:tcBorders>
          </w:tcPr>
          <w:p w14:paraId="3BD2131A" w14:textId="77777777" w:rsidR="00A94A10" w:rsidRPr="007B3354" w:rsidRDefault="00A94A10" w:rsidP="00BE68EC">
            <w:pPr>
              <w:rPr>
                <w:sz w:val="14"/>
                <w:szCs w:val="14"/>
              </w:rPr>
            </w:pPr>
            <w:r w:rsidRPr="007B3354">
              <w:rPr>
                <w:sz w:val="14"/>
                <w:szCs w:val="14"/>
              </w:rPr>
              <w:t>Notes: Statistical significance denoted by p-values: +p&lt;0.1, *p&lt;0.05, **p&lt;0.01, ***p&lt;0.001.</w:t>
            </w:r>
          </w:p>
          <w:p w14:paraId="3E593C89" w14:textId="77777777" w:rsidR="00A94A10" w:rsidRDefault="00A94A10" w:rsidP="00BE68EC">
            <w:pPr>
              <w:rPr>
                <w:sz w:val="16"/>
                <w:szCs w:val="16"/>
              </w:rPr>
            </w:pPr>
            <w:r>
              <w:rPr>
                <w:sz w:val="14"/>
                <w:szCs w:val="14"/>
              </w:rPr>
              <w:t>Estimates are presented as average marginal effects</w:t>
            </w:r>
            <w:r w:rsidRPr="007B3354">
              <w:rPr>
                <w:sz w:val="14"/>
                <w:szCs w:val="14"/>
              </w:rPr>
              <w:t>. Robust standard errors in parentheses.</w:t>
            </w:r>
            <w:r>
              <w:rPr>
                <w:sz w:val="16"/>
                <w:szCs w:val="16"/>
              </w:rPr>
              <w:t xml:space="preserve"> </w:t>
            </w:r>
          </w:p>
          <w:p w14:paraId="05338FBC" w14:textId="039A5E23" w:rsidR="007C2207" w:rsidRPr="00AE58C7" w:rsidRDefault="007C2207" w:rsidP="00BE68EC">
            <w:pPr>
              <w:rPr>
                <w:sz w:val="16"/>
                <w:szCs w:val="16"/>
              </w:rPr>
            </w:pPr>
            <w:r>
              <w:rPr>
                <w:sz w:val="14"/>
                <w:szCs w:val="14"/>
              </w:rPr>
              <w:t>Estimation results on the mental health and quality of life outcomes for the sample of the individual years of 2021 and 2023 are presented in the Appendix, Tables A-3 and A-5.</w:t>
            </w:r>
          </w:p>
        </w:tc>
      </w:tr>
    </w:tbl>
    <w:p w14:paraId="40C9F70C" w14:textId="61D28019" w:rsidR="006A01DA" w:rsidRPr="00AD597A" w:rsidRDefault="006A01DA">
      <w:pPr>
        <w:rPr>
          <w:b/>
          <w:bCs/>
          <w:sz w:val="24"/>
          <w:szCs w:val="24"/>
        </w:rPr>
      </w:pPr>
    </w:p>
    <w:p w14:paraId="7D80A6E1" w14:textId="77777777" w:rsidR="00A94A10" w:rsidRDefault="00A94A10">
      <w:pPr>
        <w:rPr>
          <w:b/>
          <w:bCs/>
          <w:sz w:val="24"/>
          <w:szCs w:val="24"/>
        </w:rPr>
      </w:pPr>
      <w:r>
        <w:rPr>
          <w:b/>
          <w:bCs/>
          <w:sz w:val="24"/>
          <w:szCs w:val="24"/>
        </w:rPr>
        <w:br w:type="page"/>
      </w:r>
    </w:p>
    <w:p w14:paraId="34C31B61" w14:textId="0AABD7C0" w:rsidR="0007119A" w:rsidRPr="00AD597A" w:rsidRDefault="0007119A" w:rsidP="00496B1F">
      <w:pPr>
        <w:pStyle w:val="ListParagraph"/>
        <w:numPr>
          <w:ilvl w:val="0"/>
          <w:numId w:val="2"/>
        </w:numPr>
        <w:spacing w:line="360" w:lineRule="auto"/>
        <w:rPr>
          <w:b/>
          <w:bCs/>
          <w:sz w:val="24"/>
          <w:szCs w:val="24"/>
        </w:rPr>
      </w:pPr>
      <w:r w:rsidRPr="00AD597A">
        <w:rPr>
          <w:b/>
          <w:bCs/>
          <w:sz w:val="24"/>
          <w:szCs w:val="24"/>
        </w:rPr>
        <w:t>Discussion</w:t>
      </w:r>
    </w:p>
    <w:p w14:paraId="02C25AC0" w14:textId="1028CB54" w:rsidR="0079341B" w:rsidRPr="00AD597A" w:rsidRDefault="001E1E3B" w:rsidP="0079341B">
      <w:pPr>
        <w:spacing w:line="360" w:lineRule="auto"/>
        <w:ind w:left="360"/>
        <w:rPr>
          <w:i/>
          <w:iCs/>
          <w:sz w:val="24"/>
          <w:szCs w:val="24"/>
        </w:rPr>
      </w:pPr>
      <w:r>
        <w:rPr>
          <w:i/>
          <w:iCs/>
          <w:sz w:val="24"/>
          <w:szCs w:val="24"/>
        </w:rPr>
        <w:t>5</w:t>
      </w:r>
      <w:r w:rsidR="005C045C" w:rsidRPr="00AD597A">
        <w:rPr>
          <w:i/>
          <w:iCs/>
          <w:sz w:val="24"/>
          <w:szCs w:val="24"/>
        </w:rPr>
        <w:t>.1. Summarising and explaining the research findings</w:t>
      </w:r>
    </w:p>
    <w:p w14:paraId="4F31C0A7" w14:textId="1C16C024" w:rsidR="0000507D" w:rsidRPr="002F27D1" w:rsidRDefault="00D91536" w:rsidP="00685102">
      <w:pPr>
        <w:spacing w:line="360" w:lineRule="auto"/>
      </w:pPr>
      <w:r w:rsidRPr="00D91536">
        <w:rPr>
          <w:sz w:val="24"/>
          <w:szCs w:val="24"/>
        </w:rPr>
        <w:t>This study examined trends in loneliness, mental health, and quality of life within a representative Irish sample between 2021 and 2023. Notably, frequent loneliness (often or always) decreased from 5.9% in 2021 to 3.9% in 2023, while those experiencing loneliness at least some</w:t>
      </w:r>
      <w:r w:rsidR="00F4248D">
        <w:rPr>
          <w:sz w:val="24"/>
          <w:szCs w:val="24"/>
        </w:rPr>
        <w:t xml:space="preserve"> of the </w:t>
      </w:r>
      <w:r w:rsidRPr="00D91536">
        <w:rPr>
          <w:sz w:val="24"/>
          <w:szCs w:val="24"/>
        </w:rPr>
        <w:t>time fell from 20.2% to 13.5%. The</w:t>
      </w:r>
      <w:r w:rsidR="000E1B99">
        <w:rPr>
          <w:sz w:val="24"/>
          <w:szCs w:val="24"/>
        </w:rPr>
        <w:t>se</w:t>
      </w:r>
      <w:r w:rsidRPr="00D91536">
        <w:rPr>
          <w:sz w:val="24"/>
          <w:szCs w:val="24"/>
        </w:rPr>
        <w:t xml:space="preserve"> </w:t>
      </w:r>
      <w:r w:rsidRPr="00CF31E2">
        <w:rPr>
          <w:i/>
          <w:iCs/>
          <w:sz w:val="24"/>
          <w:szCs w:val="24"/>
        </w:rPr>
        <w:t>Healthy Ireland</w:t>
      </w:r>
      <w:r w:rsidRPr="00D91536">
        <w:rPr>
          <w:sz w:val="24"/>
          <w:szCs w:val="24"/>
        </w:rPr>
        <w:t xml:space="preserve"> survey results indicate a lower prevalence of acute loneliness compared to a 2022 EU survey, which reported 20% of Irish respondents feeling "lonely most or all of the time"</w:t>
      </w:r>
      <w:r w:rsidR="00CF31E2">
        <w:rPr>
          <w:sz w:val="24"/>
          <w:szCs w:val="24"/>
        </w:rPr>
        <w:t xml:space="preserve"> </w:t>
      </w:r>
      <w:r w:rsidR="00CF31E2" w:rsidRPr="00AD597A">
        <w:rPr>
          <w:sz w:val="24"/>
          <w:szCs w:val="24"/>
        </w:rPr>
        <w:fldChar w:fldCharType="begin" w:fldLock="1"/>
      </w:r>
      <w:r w:rsidR="004648C4">
        <w:rPr>
          <w:sz w:val="24"/>
          <w:szCs w:val="24"/>
        </w:rPr>
        <w:instrText>ADDIN CSL_CITATION {"citationItems":[{"id":"ITEM-1","itemData":{"abstract":"A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-1","issued":{"date-parts":[["2023"]]},"publisher":"European Commission","title":"Loneliness and social connectedness: insights from a new EU-wide survey","type":"book","volume":"JRC133351"},"uris":["http://www.mendeley.com/documents/?uuid=332dc588-cfef-41b3-9ee3-52cd9c2a5614"]}],"mendeley":{"formattedCitation":"(Berlingieri et al., 2023)","plainTextFormattedCitation":"(Berlingieri et al., 2023)","previouslyFormattedCitation":"(Berlingieri et al., 2023)"},"properties":{"noteIndex":0},"schema":"https://github.com/citation-style-language/schema/raw/master/csl-citation.json"}</w:instrText>
      </w:r>
      <w:r w:rsidR="00CF31E2" w:rsidRPr="00AD597A">
        <w:rPr>
          <w:sz w:val="24"/>
          <w:szCs w:val="24"/>
        </w:rPr>
        <w:fldChar w:fldCharType="separate"/>
      </w:r>
      <w:r w:rsidR="000443B6" w:rsidRPr="00A066FF">
        <w:rPr>
          <w:noProof/>
          <w:sz w:val="24"/>
          <w:szCs w:val="24"/>
        </w:rPr>
        <w:t>(Berlingieri et al., 2023)</w:t>
      </w:r>
      <w:r w:rsidR="00CF31E2" w:rsidRPr="00AD597A">
        <w:rPr>
          <w:sz w:val="24"/>
          <w:szCs w:val="24"/>
        </w:rPr>
        <w:fldChar w:fldCharType="end"/>
      </w:r>
      <w:r w:rsidR="00CF31E2">
        <w:rPr>
          <w:sz w:val="24"/>
          <w:szCs w:val="24"/>
        </w:rPr>
        <w:t>.</w:t>
      </w:r>
      <w:r w:rsidRPr="00D91536">
        <w:rPr>
          <w:sz w:val="24"/>
          <w:szCs w:val="24"/>
        </w:rPr>
        <w:t xml:space="preserve"> However, </w:t>
      </w:r>
      <w:r w:rsidR="00CF31E2">
        <w:rPr>
          <w:sz w:val="24"/>
          <w:szCs w:val="24"/>
        </w:rPr>
        <w:t xml:space="preserve">we also note </w:t>
      </w:r>
      <w:r w:rsidRPr="00D91536">
        <w:rPr>
          <w:sz w:val="24"/>
          <w:szCs w:val="24"/>
        </w:rPr>
        <w:t xml:space="preserve">a separate 2022 Meta and Gallup global survey found </w:t>
      </w:r>
      <w:r w:rsidR="002F27D1">
        <w:rPr>
          <w:sz w:val="24"/>
          <w:szCs w:val="24"/>
        </w:rPr>
        <w:t xml:space="preserve">approximately </w:t>
      </w:r>
      <w:r w:rsidRPr="00D91536">
        <w:rPr>
          <w:sz w:val="24"/>
          <w:szCs w:val="24"/>
        </w:rPr>
        <w:t>1</w:t>
      </w:r>
      <w:r w:rsidR="002F27D1">
        <w:rPr>
          <w:sz w:val="24"/>
          <w:szCs w:val="24"/>
        </w:rPr>
        <w:t>3</w:t>
      </w:r>
      <w:r w:rsidRPr="00D91536">
        <w:rPr>
          <w:sz w:val="24"/>
          <w:szCs w:val="24"/>
        </w:rPr>
        <w:t>% of Irish respondents report</w:t>
      </w:r>
      <w:r w:rsidR="00832E07">
        <w:rPr>
          <w:sz w:val="24"/>
          <w:szCs w:val="24"/>
        </w:rPr>
        <w:t>ed</w:t>
      </w:r>
      <w:r w:rsidRPr="00D91536">
        <w:rPr>
          <w:sz w:val="24"/>
          <w:szCs w:val="24"/>
        </w:rPr>
        <w:t xml:space="preserve"> some degree of loneliness (6% "very lonely," 6% "fairly lonely")</w:t>
      </w:r>
      <w:r w:rsidR="002F27D1">
        <w:t xml:space="preserve"> </w:t>
      </w:r>
      <w:r w:rsidR="0079341B" w:rsidRPr="00AD597A">
        <w:rPr>
          <w:sz w:val="24"/>
          <w:szCs w:val="24"/>
        </w:rPr>
        <w:fldChar w:fldCharType="begin" w:fldLock="1"/>
      </w:r>
      <w:r w:rsidR="00A27A10" w:rsidRPr="00AD597A">
        <w:rPr>
          <w:sz w:val="24"/>
          <w:szCs w:val="24"/>
        </w:rPr>
        <w:instrText>ADDIN CSL_CITATION {"citationItems":[{"id":"ITEM-1","itemData":{"ISBN":"9780226921839","author":[{"dropping-particle":"","family":"Meta and Gallup","given":"","non-dropping-particle":"","parse-names":false,"suffix":""}],"id":"ITEM-1","issued":{"date-parts":[["2023"]]},"number-of-pages":"64","publisher":"Gallup","title":"The Global State of Social Connections","type":"book"},"uris":["http://www.mendeley.com/documents/?uuid=d026e418-0791-436f-aa56-d92184fd0447"]}],"mendeley":{"formattedCitation":"(Meta and Gallup, 2023)","plainTextFormattedCitation":"(Meta and Gallup, 2023)","previouslyFormattedCitation":"(Meta and Gallup, 2023)"},"properties":{"noteIndex":0},"schema":"https://github.com/citation-style-language/schema/raw/master/csl-citation.json"}</w:instrText>
      </w:r>
      <w:r w:rsidR="0079341B" w:rsidRPr="00AD597A">
        <w:rPr>
          <w:sz w:val="24"/>
          <w:szCs w:val="24"/>
        </w:rPr>
        <w:fldChar w:fldCharType="separate"/>
      </w:r>
      <w:r w:rsidR="0079341B" w:rsidRPr="00AD597A">
        <w:rPr>
          <w:noProof/>
          <w:sz w:val="24"/>
          <w:szCs w:val="24"/>
        </w:rPr>
        <w:t>(Meta and Gallup, 2023)</w:t>
      </w:r>
      <w:r w:rsidR="0079341B" w:rsidRPr="00AD597A">
        <w:rPr>
          <w:sz w:val="24"/>
          <w:szCs w:val="24"/>
        </w:rPr>
        <w:fldChar w:fldCharType="end"/>
      </w:r>
      <w:r w:rsidR="0079341B" w:rsidRPr="00AD597A">
        <w:rPr>
          <w:sz w:val="24"/>
          <w:szCs w:val="24"/>
        </w:rPr>
        <w:t xml:space="preserve">. </w:t>
      </w:r>
    </w:p>
    <w:p w14:paraId="4156DCDD" w14:textId="3EE56D8D" w:rsidR="0000507D" w:rsidRPr="00AD597A" w:rsidRDefault="0000507D" w:rsidP="00685102">
      <w:pPr>
        <w:spacing w:line="360" w:lineRule="auto"/>
        <w:rPr>
          <w:sz w:val="24"/>
          <w:szCs w:val="24"/>
        </w:rPr>
      </w:pPr>
      <w:r w:rsidRPr="00AD597A">
        <w:rPr>
          <w:sz w:val="24"/>
          <w:szCs w:val="24"/>
        </w:rPr>
        <w:t>Within the current sample,</w:t>
      </w:r>
      <w:r w:rsidR="003F7E00">
        <w:rPr>
          <w:sz w:val="24"/>
          <w:szCs w:val="24"/>
        </w:rPr>
        <w:t xml:space="preserve"> combined </w:t>
      </w:r>
      <w:r w:rsidR="00D47E0A">
        <w:rPr>
          <w:sz w:val="24"/>
          <w:szCs w:val="24"/>
        </w:rPr>
        <w:t xml:space="preserve">using the </w:t>
      </w:r>
      <w:r w:rsidR="003F7E00">
        <w:rPr>
          <w:sz w:val="24"/>
          <w:szCs w:val="24"/>
        </w:rPr>
        <w:t>2021 and 2023</w:t>
      </w:r>
      <w:r w:rsidR="00D47E0A">
        <w:rPr>
          <w:sz w:val="24"/>
          <w:szCs w:val="24"/>
        </w:rPr>
        <w:t xml:space="preserve"> data,</w:t>
      </w:r>
      <w:r w:rsidRPr="00AD597A">
        <w:rPr>
          <w:sz w:val="24"/>
          <w:szCs w:val="24"/>
        </w:rPr>
        <w:t xml:space="preserve"> approximately 1</w:t>
      </w:r>
      <w:r w:rsidR="003F7E00">
        <w:rPr>
          <w:sz w:val="24"/>
          <w:szCs w:val="24"/>
        </w:rPr>
        <w:t>3.7</w:t>
      </w:r>
      <w:r w:rsidRPr="00AD597A">
        <w:rPr>
          <w:sz w:val="24"/>
          <w:szCs w:val="24"/>
        </w:rPr>
        <w:t>% exhibited indicators of a probable mental health problem, a notably lower prevalence</w:t>
      </w:r>
      <w:r w:rsidR="003C4C81" w:rsidRPr="00AD597A">
        <w:rPr>
          <w:sz w:val="24"/>
          <w:szCs w:val="24"/>
        </w:rPr>
        <w:t xml:space="preserve"> for the Irish population</w:t>
      </w:r>
      <w:r w:rsidRPr="00AD597A">
        <w:rPr>
          <w:sz w:val="24"/>
          <w:szCs w:val="24"/>
        </w:rPr>
        <w:t xml:space="preserve"> compared to the 42.5% reported by </w:t>
      </w:r>
      <w:r w:rsidRPr="00AD597A">
        <w:rPr>
          <w:sz w:val="24"/>
          <w:szCs w:val="24"/>
        </w:rPr>
        <w:fldChar w:fldCharType="begin" w:fldLock="1"/>
      </w:r>
      <w:r w:rsidR="004648C4">
        <w:rPr>
          <w:sz w:val="24"/>
          <w:szCs w:val="24"/>
        </w:rPr>
        <w:instrText>ADDIN CSL_CITATION {"citationItems":[{"id":"ITEM-1","itemData":{"DOI":"10.1017/S2045796022000312","ISSN":"20457979","PMID":"35773999","abstract":"Aims Current information about the prevalence of various mental health disorders in the general adult population of the Republic of Ireland is lacking. In this study, we examined the prevalence of 12 common mental disorders, the proportion of adults who screened positive for any disorder, the sociodemographic factors associated with meeting criteria for a disorder and the associations between each disorder and history of attempted suicide. Methods A non-probability nationally representative sample (N = 1110) of adults living in Ireland completed self-report measures of 12 mental health disorders. Effect sizes were calculated using odds ratios from logistic regression models, and population attributable risk fractions (PAFs) were estimated to quantify the associations between each disorder and attempted suicide. Results Prevalence rates ranged from 15.0% (insomnia disorder) to 1.7% (histrionic personality disorder). Overall, 42.5% of the sample met criteria for a mental health disorder, and 11.1% had a lifetime history of attempted suicide. Younger age, being a shift worker and trauma exposure were independently associated with a higher likelihood of having a mental health disorder, while being in university was associated with a lower likelihood of having a disorder. ICD-11 complex posttraumatic stress disorder, borderline personality disorder and insomnia disorder had the highest PAFs for attempted suicide. Conclusions Mental health disorder prevalence in Ireland is relatively high compared to international estimates. The findings are discussed in relation to important mental health policy implications.","author":[{"dropping-particle":"","family":"Hyland","given":"Philip","non-dropping-particle":"","parse-names":false,"suffix":""},{"dropping-particle":"","family":"Vallières","given":"Frédérique","non-dropping-particle":"","parse-names":false,"suffix":""},{"dropping-particle":"","family":"Shevlin","given":"Mark","non-dropping-particle":"","parse-names":false,"suffix":""},{"dropping-particle":"","family":"Bentall","given":"Richard P.","non-dropping-particle":"","parse-names":false,"suffix":""},{"dropping-particle":"","family":"Butter","given":"Sarah","non-dropping-particle":"","parse-names":false,"suffix":""},{"dropping-particle":"","family":"Hartman","given":"Todd K.","non-dropping-particle":"","parse-names":false,"suffix":""},{"dropping-particle":"","family":"Karatzias","given":"Thanos","non-dropping-particle":"","parse-names":false,"suffix":""},{"dropping-particle":"","family":"Martinez","given":"Anton P.","non-dropping-particle":"","parse-names":false,"suffix":""},{"dropping-particle":"","family":"McBride","given":"Orla","non-dropping-particle":"","parse-names":false,"suffix":""},{"dropping-particle":"","family":"Murphy","given":"Jamie","non-dropping-particle":"","parse-names":false,"suffix":""},{"dropping-particle":"","family":"Fox","given":"Robert","non-dropping-particle":"","parse-names":false,"suffix":""}],"container-title":"Epidemiology and Psychiatric Sciences","id":"ITEM-1","issue":"E47","issued":{"date-parts":[["2022"]]},"title":"State of Ireland's mental health: findings from a nationally representative survey","type":"article-journal","volume":"31"},"uris":["http://www.mendeley.com/documents/?uuid=692971bb-2edd-4431-8065-63d4f2d49f5f"]}],"mendeley":{"formattedCitation":"(Hyland et al., 2022)","manualFormatting":"Hyland et al. (2022)","plainTextFormattedCitation":"(Hyland et al., 2022)","previouslyFormattedCitation":"(Hyland et al., 2022)"},"properties":{"noteIndex":0},"schema":"https://github.com/citation-style-language/schema/raw/master/csl-citation.json"}</w:instrText>
      </w:r>
      <w:r w:rsidRPr="00AD597A">
        <w:rPr>
          <w:sz w:val="24"/>
          <w:szCs w:val="24"/>
        </w:rPr>
        <w:fldChar w:fldCharType="separate"/>
      </w:r>
      <w:r w:rsidRPr="00AD597A">
        <w:rPr>
          <w:noProof/>
          <w:sz w:val="24"/>
          <w:szCs w:val="24"/>
        </w:rPr>
        <w:t xml:space="preserve">Hyland </w:t>
      </w:r>
      <w:r w:rsidRPr="00AD597A">
        <w:rPr>
          <w:i/>
          <w:noProof/>
          <w:sz w:val="24"/>
          <w:szCs w:val="24"/>
        </w:rPr>
        <w:t>et al.</w:t>
      </w:r>
      <w:r w:rsidRPr="00AD597A">
        <w:rPr>
          <w:noProof/>
          <w:sz w:val="24"/>
          <w:szCs w:val="24"/>
        </w:rPr>
        <w:t xml:space="preserve"> </w:t>
      </w:r>
      <w:r w:rsidR="003C4C81" w:rsidRPr="00AD597A">
        <w:rPr>
          <w:noProof/>
          <w:sz w:val="24"/>
          <w:szCs w:val="24"/>
        </w:rPr>
        <w:t>(</w:t>
      </w:r>
      <w:r w:rsidRPr="00AD597A">
        <w:rPr>
          <w:noProof/>
          <w:sz w:val="24"/>
          <w:szCs w:val="24"/>
        </w:rPr>
        <w:t>2022)</w:t>
      </w:r>
      <w:r w:rsidRPr="00AD597A">
        <w:rPr>
          <w:sz w:val="24"/>
          <w:szCs w:val="24"/>
        </w:rPr>
        <w:fldChar w:fldCharType="end"/>
      </w:r>
      <w:r w:rsidRPr="00AD597A">
        <w:rPr>
          <w:sz w:val="24"/>
          <w:szCs w:val="24"/>
        </w:rPr>
        <w:t xml:space="preserve"> who used a different methodology to assess mental health disorder. The present study indicates that the majority (8</w:t>
      </w:r>
      <w:r w:rsidR="00E62FDB">
        <w:rPr>
          <w:sz w:val="24"/>
          <w:szCs w:val="24"/>
        </w:rPr>
        <w:t>0.1</w:t>
      </w:r>
      <w:r w:rsidRPr="00AD597A">
        <w:rPr>
          <w:sz w:val="24"/>
          <w:szCs w:val="24"/>
        </w:rPr>
        <w:t xml:space="preserve">%) of respondents reported a good quality of life. Regarding social connectedness, </w:t>
      </w:r>
      <w:r w:rsidR="00E62FDB">
        <w:rPr>
          <w:sz w:val="24"/>
          <w:szCs w:val="24"/>
        </w:rPr>
        <w:t>31.4</w:t>
      </w:r>
      <w:r w:rsidRPr="00AD597A">
        <w:rPr>
          <w:sz w:val="24"/>
          <w:szCs w:val="24"/>
        </w:rPr>
        <w:t>% reported belonging to a club or group, while 2</w:t>
      </w:r>
      <w:r w:rsidR="00E62FDB">
        <w:rPr>
          <w:sz w:val="24"/>
          <w:szCs w:val="24"/>
        </w:rPr>
        <w:t>6.0</w:t>
      </w:r>
      <w:r w:rsidRPr="00AD597A">
        <w:rPr>
          <w:sz w:val="24"/>
          <w:szCs w:val="24"/>
        </w:rPr>
        <w:t xml:space="preserve">% indicated having few </w:t>
      </w:r>
      <w:r w:rsidR="00E47D8D">
        <w:rPr>
          <w:sz w:val="24"/>
          <w:szCs w:val="24"/>
        </w:rPr>
        <w:t>close confidants</w:t>
      </w:r>
      <w:r w:rsidRPr="00AD597A">
        <w:rPr>
          <w:sz w:val="24"/>
          <w:szCs w:val="24"/>
        </w:rPr>
        <w:t>.</w:t>
      </w:r>
    </w:p>
    <w:p w14:paraId="336956EA" w14:textId="67C11A61" w:rsidR="00427E98" w:rsidRPr="00AD597A" w:rsidRDefault="00A75C42" w:rsidP="00685102">
      <w:pPr>
        <w:spacing w:line="360" w:lineRule="auto"/>
        <w:rPr>
          <w:sz w:val="24"/>
          <w:szCs w:val="24"/>
        </w:rPr>
      </w:pPr>
      <w:r>
        <w:rPr>
          <w:sz w:val="24"/>
          <w:szCs w:val="24"/>
        </w:rPr>
        <w:t>In answering the first research question as to who is lonely in Ireland, a</w:t>
      </w:r>
      <w:r w:rsidR="00685102" w:rsidRPr="00AD597A">
        <w:rPr>
          <w:sz w:val="24"/>
          <w:szCs w:val="24"/>
        </w:rPr>
        <w:t xml:space="preserve">nalysis of the predictors of loneliness revealed that having few people to rely on and probable mental health issues were strongly associated with acute loneliness (feeling lonely often/always). Being married, compared to being single, was associated with a lower likelihood of </w:t>
      </w:r>
      <w:r w:rsidR="0045108F">
        <w:rPr>
          <w:sz w:val="24"/>
          <w:szCs w:val="24"/>
        </w:rPr>
        <w:t>experiencing loneliness</w:t>
      </w:r>
      <w:r w:rsidR="00685102" w:rsidRPr="00AD597A">
        <w:rPr>
          <w:sz w:val="24"/>
          <w:szCs w:val="24"/>
        </w:rPr>
        <w:t xml:space="preserve">, while unemployment and </w:t>
      </w:r>
      <w:r w:rsidR="0045108F">
        <w:rPr>
          <w:sz w:val="24"/>
          <w:szCs w:val="24"/>
        </w:rPr>
        <w:t xml:space="preserve">looking after the home </w:t>
      </w:r>
      <w:r w:rsidR="00685102" w:rsidRPr="00AD597A">
        <w:rPr>
          <w:sz w:val="24"/>
          <w:szCs w:val="24"/>
        </w:rPr>
        <w:t xml:space="preserve">were associated with higher likelihoods. </w:t>
      </w:r>
      <w:r w:rsidR="00A16AAE">
        <w:rPr>
          <w:sz w:val="24"/>
          <w:szCs w:val="24"/>
        </w:rPr>
        <w:t>O</w:t>
      </w:r>
      <w:r w:rsidR="00685102" w:rsidRPr="00AD597A">
        <w:rPr>
          <w:sz w:val="24"/>
          <w:szCs w:val="24"/>
        </w:rPr>
        <w:t>lder age groups (50-64 and 65+) were less likely to report loneliness compared to younger respondents (15-29). Furthermore,</w:t>
      </w:r>
      <w:r w:rsidR="00B504B6">
        <w:rPr>
          <w:sz w:val="24"/>
          <w:szCs w:val="24"/>
        </w:rPr>
        <w:t xml:space="preserve"> in answering the second research question,</w:t>
      </w:r>
      <w:r w:rsidR="00685102" w:rsidRPr="00AD597A">
        <w:rPr>
          <w:sz w:val="24"/>
          <w:szCs w:val="24"/>
        </w:rPr>
        <w:t xml:space="preserve"> individuals frequently feeling lonely ha</w:t>
      </w:r>
      <w:r w:rsidR="00D47E0A">
        <w:rPr>
          <w:sz w:val="24"/>
          <w:szCs w:val="24"/>
        </w:rPr>
        <w:t>d</w:t>
      </w:r>
      <w:r w:rsidR="00685102" w:rsidRPr="00AD597A">
        <w:rPr>
          <w:sz w:val="24"/>
          <w:szCs w:val="24"/>
        </w:rPr>
        <w:t xml:space="preserve"> a 3</w:t>
      </w:r>
      <w:r w:rsidR="00B504B6">
        <w:rPr>
          <w:sz w:val="24"/>
          <w:szCs w:val="24"/>
        </w:rPr>
        <w:t>5.6</w:t>
      </w:r>
      <w:r w:rsidR="005348BA">
        <w:rPr>
          <w:sz w:val="24"/>
          <w:szCs w:val="24"/>
        </w:rPr>
        <w:t xml:space="preserve"> percentage point</w:t>
      </w:r>
      <w:r w:rsidR="00685102" w:rsidRPr="00AD597A">
        <w:rPr>
          <w:sz w:val="24"/>
          <w:szCs w:val="24"/>
        </w:rPr>
        <w:t xml:space="preserve"> higher probability of experiencing mental health problems compared to those less frequently lonely. Loneliness, whether defined acutely or broadly, was negatively associated with reported quality of life, with frequent loneliness showing a stronger negative association.</w:t>
      </w:r>
    </w:p>
    <w:p w14:paraId="23FB6141" w14:textId="7042E328" w:rsidR="00427E98" w:rsidRPr="00AD597A" w:rsidRDefault="00427E98" w:rsidP="00427E98">
      <w:pPr>
        <w:spacing w:line="360" w:lineRule="auto"/>
        <w:rPr>
          <w:sz w:val="24"/>
          <w:szCs w:val="24"/>
        </w:rPr>
      </w:pPr>
      <w:r w:rsidRPr="00AD597A">
        <w:rPr>
          <w:sz w:val="24"/>
          <w:szCs w:val="24"/>
        </w:rPr>
        <w:t xml:space="preserve">The findings of this Irish study on </w:t>
      </w:r>
      <w:r w:rsidR="00DB06C0" w:rsidRPr="00AD597A">
        <w:rPr>
          <w:sz w:val="24"/>
          <w:szCs w:val="24"/>
        </w:rPr>
        <w:t xml:space="preserve">the predictors of </w:t>
      </w:r>
      <w:r w:rsidRPr="00AD597A">
        <w:rPr>
          <w:sz w:val="24"/>
          <w:szCs w:val="24"/>
        </w:rPr>
        <w:t>loneliness</w:t>
      </w:r>
      <w:r w:rsidR="00DB06C0" w:rsidRPr="00AD597A">
        <w:rPr>
          <w:sz w:val="24"/>
          <w:szCs w:val="24"/>
        </w:rPr>
        <w:t>, and its association with</w:t>
      </w:r>
      <w:r w:rsidRPr="00AD597A">
        <w:rPr>
          <w:sz w:val="24"/>
          <w:szCs w:val="24"/>
        </w:rPr>
        <w:t xml:space="preserve"> mental health</w:t>
      </w:r>
      <w:r w:rsidR="00E02BD4" w:rsidRPr="00AD597A">
        <w:rPr>
          <w:sz w:val="24"/>
          <w:szCs w:val="24"/>
        </w:rPr>
        <w:t>,</w:t>
      </w:r>
      <w:r w:rsidRPr="00AD597A">
        <w:rPr>
          <w:sz w:val="24"/>
          <w:szCs w:val="24"/>
        </w:rPr>
        <w:t xml:space="preserve"> and quality of life resonate with broader international research </w:t>
      </w:r>
      <w:r w:rsidR="00A27A10" w:rsidRPr="00AD597A">
        <w:rPr>
          <w:sz w:val="24"/>
          <w:szCs w:val="24"/>
        </w:rPr>
        <w:fldChar w:fldCharType="begin" w:fldLock="1"/>
      </w:r>
      <w:r w:rsidR="004648C4">
        <w:rPr>
          <w:sz w:val="24"/>
          <w:szCs w:val="24"/>
        </w:rPr>
        <w:instrText>ADDIN CSL_CITATION {"citationItems":[{"id":"ITEM-1","itemData":{"DOI":"10.1016/j.socscimed.2023.116163","ISSN":"18735347","PMID":"37625251","abstract":"Rationale: Increasingly, loneliness is being recognised as a serious problem with detrimental effects on health, as well as on social cohesion and community trust. To effectively tackle this complex issue, a clear understanding of the phenomenon and its main drivers is needed. Over years of scientific research on loneliness, many potential risk factors have emerged and been tested empirically. Objective: This narrative review of 109 studies provides a concise summary of empirical evidence on the main potential risk factors for loneliness and presents an additional section dedicated to the COVID-19 pandemic. Method: Given the very large number of existing studies, emphasis is placed on recent meta-analyses and systematic literature reviews as well as longitudinal studies. Similarly, given the large number of possible risk factors for loneliness, which may differ based on the geographical and cultural context, this review focuses on studies from Europe and North America. Results: The results show that demographic factors often correlate with loneliness, but in many cases the link becomes negligible when controlling for other factors. Often, physical and mental health problems are found to be associated with loneliness, and so are some psychological factors, such as neuroticism or extroversion. Loneliness also depends on the environment in which one lives, and possibly the broader socio-economic and socio-cultural contexts. Nevertheless, the review shows that ultimately everything comes down to the quantity and quality of social relationships. In particular, marital status, living arrangements and the characteristics of one's personal social network are quite consistently found to be among the strongest predictors of loneliness. These main findings about the risk factors for loneliness remained valid also during the COVID-19 pandemic. Policy implications: The findings of this review have implications for policy, as understanding who the most vulnerable groups are is key for designing targeted policy solutions that tackle loneliness.","author":[{"dropping-particle":"","family":"Barjaková","given":"Martina","non-dropping-particle":"","parse-names":false,"suffix":""},{"dropping-particle":"","family":"Garnero","given":"Andrea","non-dropping-particle":"","parse-names":false,"suffix":""},{"dropping-particle":"","family":"d'Hombres","given":"Béatrice","non-dropping-particle":"","parse-names":false,"suffix":""}],"container-title":"Social Science and Medicine","id":"ITEM-1","issue":"August","issued":{"date-parts":[["2023"]]},"title":"Risk factors for loneliness: A literature review","type":"article-journal","volume":"334"},"uris":["http://www.mendeley.com/documents/?uuid=55204e25-3eaf-4b5e-95cb-a063f0c9b5be"]},{"id":"ITEM-2","itemData":{"DOI":"10.1186/s12889-024-19463-0","ISSN":"14712458","PMID":"39054451","abstract":"Background: In the older population, depression, loneliness, and quality of life are closely related, significantly influencing health status. This paper aimed (1) to investigate autoregressive and cross-lagged associations over 2 years between depression, loneliness, and quality of life, and (2) to examine sex-related differences in the 2-year associations between depression, loneliness, and quality of life in a large sample of European citizens aged ≥ 50 years. Methods: This is a longitudinal analysis. We included 7.456 individuals (70.89 ± 7.64 years; (4.268 females) who responded to waves 7 (2017) and 8 (2019) of the SHARE project. The variables analyzed in both waves were depression, loneliness, and quality of life. Results: Comparatively, females indicated higher depression and loneliness scores than males and a lower perception of quality of life. Autoregressive associations pointed that past depression, loneliness, and quality of life predicted their future episodes 2 years later (p &lt; 0.001). The cross-lagged analysis of males showed positive and significant bidirectional associations between depression and loneliness 2 years later. Females also showed a positive and significant association between depression and loneliness, but loneliness was not associated with depression 2 years later. In turn, previous high levels of quality of life had a protective role in late depression and loneliness up to 2 years. Conclusions: This study highlighted the need to simultaneously assess and manage depression, loneliness, and quality of life in the older European population. It is suggested that sex-specific policies can be created, including social support, in order to reduce depression and loneliness, and promote quality of life.","author":[{"dropping-particle":"","family":"Maio Nascimento","given":"Marcelo","non-dropping-particle":"de","parse-names":false,"suffix":""},{"dropping-particle":"","family":"Lampraki","given":"Charikleia","non-dropping-particle":"","parse-names":false,"suffix":""},{"dropping-particle":"","family":"Marques","given":"Adilson","non-dropping-particle":"","parse-names":false,"suffix":""},{"dropping-particle":"","family":"Gouveia","given":"Élvio R.","non-dropping-particle":"","parse-names":false,"suffix":""},{"dropping-particle":"","family":"Adsuar","given":"Jose C.","non-dropping-particle":"","parse-names":false,"suffix":""},{"dropping-particle":"","family":"Ihle","given":"Andreas","non-dropping-particle":"","parse-names":false,"suffix":""}],"container-title":"BMC Public Health","id":"ITEM-2","issue":"1","issued":{"date-parts":[["2024"]]},"publisher":"BioMed Central","title":"Longitudinal cross-lagged analysis of depression, loneliness, and quality of life in 12 European countries","type":"article-journal","volume":"24"},"uris":["http://www.mendeley.com/documents/?uuid=69e5ab4b-4113-4e47-be0e-c516f1c3c229"]}],"mendeley":{"formattedCitation":"(Barjaková et al., 2023; de Maio Nascimento et al., 2024)","plainTextFormattedCitation":"(Barjaková et al., 2023; de Maio Nascimento et al., 2024)","previouslyFormattedCitation":"(Barjaková et al., 2023; de Maio Nascimento et al., 2024)"},"properties":{"noteIndex":0},"schema":"https://github.com/citation-style-language/schema/raw/master/csl-citation.json"}</w:instrText>
      </w:r>
      <w:r w:rsidR="00A27A10" w:rsidRPr="00AD597A">
        <w:rPr>
          <w:sz w:val="24"/>
          <w:szCs w:val="24"/>
        </w:rPr>
        <w:fldChar w:fldCharType="separate"/>
      </w:r>
      <w:r w:rsidR="000443B6" w:rsidRPr="00A066FF">
        <w:rPr>
          <w:noProof/>
          <w:sz w:val="24"/>
          <w:szCs w:val="24"/>
        </w:rPr>
        <w:t>(Barjaková et al., 2023; de Maio Nascimento et al., 2024)</w:t>
      </w:r>
      <w:r w:rsidR="00A27A10" w:rsidRPr="00AD597A">
        <w:rPr>
          <w:sz w:val="24"/>
          <w:szCs w:val="24"/>
        </w:rPr>
        <w:fldChar w:fldCharType="end"/>
      </w:r>
      <w:r w:rsidR="00A27A10" w:rsidRPr="00AD597A">
        <w:rPr>
          <w:sz w:val="24"/>
          <w:szCs w:val="24"/>
        </w:rPr>
        <w:t xml:space="preserve"> </w:t>
      </w:r>
      <w:r w:rsidRPr="00AD597A">
        <w:rPr>
          <w:sz w:val="24"/>
          <w:szCs w:val="24"/>
        </w:rPr>
        <w:t xml:space="preserve">and can be interpreted within the specific socio-cultural context of Ireland. The </w:t>
      </w:r>
      <w:r w:rsidR="00520986">
        <w:rPr>
          <w:sz w:val="24"/>
          <w:szCs w:val="24"/>
        </w:rPr>
        <w:t xml:space="preserve">more recently observed </w:t>
      </w:r>
      <w:r w:rsidRPr="00AD597A">
        <w:rPr>
          <w:sz w:val="24"/>
          <w:szCs w:val="24"/>
        </w:rPr>
        <w:t xml:space="preserve">relatively low prevalence of frequent loneliness </w:t>
      </w:r>
      <w:r w:rsidR="00520986">
        <w:rPr>
          <w:sz w:val="24"/>
          <w:szCs w:val="24"/>
        </w:rPr>
        <w:t xml:space="preserve">in 2023 </w:t>
      </w:r>
      <w:r w:rsidRPr="00AD597A">
        <w:rPr>
          <w:sz w:val="24"/>
          <w:szCs w:val="24"/>
        </w:rPr>
        <w:t>(3.9%) coupled with a larger proportion experiencing occasional loneliness (9.9%) suggests a complex interplay of factors. While a majority reported good quality of life (85.8%), the presence of probable mental health issues in 12.5% of the sample underscores the interconnectedness of these constructs.</w:t>
      </w:r>
    </w:p>
    <w:p w14:paraId="2A982C78" w14:textId="182ABDDA" w:rsidR="009E577D" w:rsidRDefault="00427E98" w:rsidP="00AE49E0">
      <w:pPr>
        <w:spacing w:line="360" w:lineRule="auto"/>
        <w:rPr>
          <w:sz w:val="24"/>
          <w:szCs w:val="24"/>
        </w:rPr>
      </w:pPr>
      <w:r w:rsidRPr="00AD597A">
        <w:rPr>
          <w:sz w:val="24"/>
          <w:szCs w:val="24"/>
        </w:rPr>
        <w:t xml:space="preserve">Several factors may explain the observed associations. The strong link between loneliness and mental health is well-established </w:t>
      </w:r>
      <w:r w:rsidR="00226862" w:rsidRPr="00AD597A">
        <w:rPr>
          <w:sz w:val="24"/>
          <w:szCs w:val="24"/>
        </w:rPr>
        <w:fldChar w:fldCharType="begin" w:fldLock="1"/>
      </w:r>
      <w:r w:rsidR="004648C4">
        <w:rPr>
          <w:sz w:val="24"/>
          <w:szCs w:val="24"/>
        </w:rPr>
        <w:instrText>ADDIN CSL_CITATION {"citationItems":[{"id":"ITEM-1","itemData":{"DOI":"10.1177/0020764018776349","ISBN":"0020764018776","ISSN":"17412854","PMID":"29792097","abstract":"Background: Negative emotions, which have a common, chronic and recurrent structure, play a vital role in the development and maintenance of psychopathology. In this study, loneliness as a negative emotion was considered to be a predisposing factor in depression. Aim: The aim of this meta-analysis is to determine the effect of loneliness on depression. Method: Initially, a literature scan was performed and all related literature was pooled together (n = 531). Based on scales determined by the researchers, it was decided to include 88 studies in the analysis. This study obtained a sampling group of 40,068 individuals. Results: The results of using a random effects model for analysis showed that loneliness had a moderately significant effect on depression. None of the variables of study sampling group, type of publication and publication year were found to be moderator variables. Conclusion: According to the results of the research, loneliness may be said to be a significant variable affecting depression. The findings obtained are discussed in light of the literature.","author":[{"dropping-particle":"","family":"Erzen","given":"Evren","non-dropping-particle":"","parse-names":false,"suffix":""},{"dropping-particle":"","family":"Çikrikci","given":"Özkan","non-dropping-particle":"","parse-names":false,"suffix":""}],"container-title":"International Journal of Social Psychiatry","id":"ITEM-1","issue":"5","issued":{"date-parts":[["2018"]]},"page":"427-435","title":"The effect of loneliness on depression: A meta-analysis","type":"article-journal","volume":"64"},"uris":["http://www.mendeley.com/documents/?uuid=9b3250b1-c8e4-4683-8ff0-c5701a1c75a7"]},{"id":"ITEM-2","itemData":{"DOI":"10.1186/s12888-018-1736-5","ISBN":"1288801817365","ISSN":"1471244X","PMID":"29843662","abstract":"Background: The adverse effects of loneliness and of poor perceived social support on physical health and mortality are established, but no systematic synthesis is available of their relationship with the outcomes of mental health problems over time. In this systematic review, we aim to examine the evidence on whether loneliness and closely related concepts predict poor outcomes among adults with mental health problems. Methods: We searched six databases and reference lists for longitudinal quantitative studies that examined the relationship between baseline measures of loneliness and poor perceived social support and outcomes at follow up. Thirty-four eligible papers were retrieved. Due to heterogeneity among included studies in clinical populations, predictor measures and outcomes, a narrative synthesis was conducted. Results: We found substantial evidence from prospective studies that people with depression who perceive their social support as poorer have worse outcomes in terms of symptoms, recovery and social functioning. Loneliness has been investigated much less than perceived social support, but there is some evidence that greater loneliness predicts poorer depression outcome. There is also some preliminary evidence of associations between perceived social support and outcomes in schizophrenia, bipolar disorder and anxiety disorders. Conclusions: Loneliness and quality of social support in depression are potential targets for development and testing of interventions, while for other conditions further evidence is needed regarding relationships with outcomes.","author":[{"dropping-particle":"","family":"Wang","given":"Jingyi","non-dropping-particle":"","parse-names":false,"suffix":""},{"dropping-particle":"","family":"Mann","given":"Farhana","non-dropping-particle":"","parse-names":false,"suffix":""},{"dropping-particle":"","family":"Lloyd-Evans","given":"Brynmor","non-dropping-particle":"","parse-names":false,"suffix":""},{"dropping-particle":"","family":"Ma","given":"Ruimin","non-dropping-particle":"","parse-names":false,"suffix":""},{"dropping-particle":"","family":"Johnson","given":"Sonia","non-dropping-particle":"","parse-names":false,"suffix":""}],"container-title":"BMC Psychiatry","id":"ITEM-2","issue":"1","issued":{"date-parts":[["2018"]]},"page":"1-16","publisher":"BMC Psychiatry","title":"Associations between loneliness and perceived social support and outcomes of mental health problems: A systematic review","type":"article-journal","volume":"18"},"uris":["http://www.mendeley.com/documents/?uuid=de9a9d53-aa3c-42d2-8f79-3f478e4a70a5"]},{"id":"ITEM-3","itemData":{"DOI":"10.4137/hacce.s35890","abstract":"Loneliness is a significant but neglected circumstance in which many individuals, particularly the elderly, find themselves. This review aims to discuss the various effects that loneliness has on mental and physical health and the potential interventions that may alleviate this problem. This review used the PubMed, ScienceDirect, and WHO IRIS databases to search for relevant studies on the topic, mainly focusing on longitudinal studies due to the difficulty in distinguishing the causality between loneliness and its associated factors. In collating these studies, loneliness can be shown to be a significant independent risk factor for a number of conditions such as poor health behaviors (eg, smoking and alcohol consumption), physical health problems (eg, hypertension and motor decline), and psychiatric conditions (eg, depression and cognitive impairment). The interventions discussed, both low tech and high tech, have the potential to benefit patients at both an individual level and a population-wide level.","author":[{"dropping-particle":"","family":"Crewdson","given":"J. A","non-dropping-particle":"","parse-names":false,"suffix":""}],"container-title":"Healthy Aging &amp; Clinical Care in the Elderly","id":"ITEM-3","issued":{"date-parts":[["2016"]]},"page":"1-8","title":"The Effect of Loneliness in the Elderly Population: A Review","type":"article-journal","volume":"8"},"uris":["http://www.mendeley.com/documents/?uuid=50bf29f3-2043-40b9-bdef-0e6ebd8fd256"]},{"id":"ITEM-4","itemData":{"DOI":"10.1017/S1041610221000399","ISSN":"1741203X","PMID":"33849675","abstract":"Objective: Loneliness and the onset of depression in old age are growing problems related to the greater life expectancy nowadays. This review investigated the longitudinal association between loneliness and depressive symptoms in the elderly. Design: A comprehensive search was conducted using three databases (Scopus, PsycInfo, and PubMed) combing for empirical studies published up until July 2020. A total of 4.549 abstracts and 221 full-text articles were assessed. Three authors independently reviewed titles and abstracts; disagreements were resolved by consensus. Results: Ten studies were included in the final review. We identified two categories of studies based on the outcome considered in each article: 1) the longitudinal effect of loneliness on depressive symptoms and 2) the clinical course of depression and its association with loneliness. All the articles reported a significant and positive association between loneliness and depressive symptoms in their longitudinal design research, ranging from an odds ratio of 0.41 to 17.76. The heterogeneity regarding the effect size in the analyses can be explained by the multifactorial design implemented by most of the studies included. Conclusions: Future research should investigate the moderators' role and how it may influence the longitudinal association between loneliness and depression over the years.","author":[{"dropping-particle":"","family":"Lambert Van As","given":"Barbara Adriana","non-dropping-particle":"","parse-names":false,"suffix":""},{"dropping-particle":"","family":"Imbimbo","given":"Enrico","non-dropping-particle":"","parse-names":false,"suffix":""},{"dropping-particle":"","family":"Franceschi","given":"Angela","non-dropping-particle":"","parse-names":false,"suffix":""},{"dropping-particle":"","family":"Menesini","given":"Ersilia","non-dropping-particle":"","parse-names":false,"suffix":""},{"dropping-particle":"","family":"Nocentini","given":"Annalaura","non-dropping-particle":"","parse-names":false,"suffix":""}],"container-title":"International Psychogeriatrics","id":"ITEM-4","issued":{"date-parts":[["2022"]]},"page":"657-669","title":"The longitudinal association between loneliness and depressive symptoms in the elderly: a systematic review","type":"article-journal","volume":"34"},"uris":["http://www.mendeley.com/documents/?uuid=7ae8625f-8bea-4ca6-a583-04f14bf2acb7"]},{"id":"ITEM-5","itemData":{"DOI":"10.1016/j.psychres.2020.113514","ISSN":"18727123","PMID":"33130511","abstract":"The primary objective was to evaluate the comparative effects of loneliness on multiple distinct health outcomes. The literature was qualitatively reviewed to identify loneliness risk factors, explore mechanisms, and discuss potential evidence-based interventions for targeting loneliness. 114 identified studies were systematically reviewed and analyzed to examine for associations between loneliness (as measured by the UCLA Loneliness or de Jong Gierveld Loneliness Scales) and one or more health outcome(s). Health outcomes were broadly defined to include measures of mental health (i.e., depression, anxiety, suicidality, general mental health), general health (i.e., overall self-rated health), well-being (i.e., quality of life, life satisfaction), physical health (i.e., functional disability), sleep, and cognition. Loneliness had medium to large effects on all health outcomes, with the largest effects on mental health and overall well-being; however, this result may have been confounded by the breadth of studies exploring the association between loneliness and mental health, as opposed to other health outcomes. A significant effect of gender on the association between loneliness and cognition (i.e., more pronounced in studies with a greater proportion of males) was also observed. The adequate training of health care providers to perceive and respond to loneliness among patients should be prioritized.","author":[{"dropping-particle":"","family":"Park","given":"Caroline","non-dropping-particle":"","parse-names":false,"suffix":""},{"dropping-particle":"","family":"Majeed","given":"Amna","non-dropping-particle":"","parse-names":false,"suffix":""},{"dropping-particle":"","family":"Gill","given":"Hartej","non-dropping-particle":"","parse-names":false,"suffix":""},{"dropping-particle":"","family":"Tamura","given":"Jocelyn","non-dropping-particle":"","parse-names":false,"suffix":""},{"dropping-particle":"","family":"Ho","given":"Roger C.","non-dropping-particle":"","parse-names":false,"suffix":""},{"dropping-particle":"","family":"Mansur","given":"Rodrigo B.","non-dropping-particle":"","parse-names":false,"suffix":""},{"dropping-particle":"","family":"Nasri","given":"Flora","non-dropping-particle":"","parse-names":false,"suffix":""},{"dropping-particle":"","family":"Lee","given":"Yena","non-dropping-particle":"","parse-names":false,"suffix":""},{"dropping-particle":"","family":"Rosenblat","given":"Joshua D.","non-dropping-particle":"","parse-names":false,"suffix":""},{"dropping-particle":"","family":"Wong","given":"Elizabeth","non-dropping-particle":"","parse-names":false,"suffix":""},{"dropping-particle":"","family":"McIntyre","given":"Roger S.","non-dropping-particle":"","parse-names":false,"suffix":""}],"container-title":"Psychiatry Research","id":"ITEM-5","issue":"January","issued":{"date-parts":[["2020"]]},"page":"113514","publisher":"Elsevier B.V.","title":"The Effect of Loneliness on Distinct Health Outcomes: A Comprehensive Review and Meta-Analysis","type":"article-journal","volume":"294"},"uris":["http://www.mendeley.com/documents/?uuid=3b4616d9-42f5-4c82-bf44-2918cb86a0ce"]},{"id":"ITEM-6","itemData":{"DOI":"10.1037/0882-7974.21.1.140","ISSN":"08827974","PMID":"16594799","abstract":"The extent to which loneliness is a unique risk factor for depressive symptoms was determined in 2 population-based studies of middle-aged to older adults, and the possible causal influences between loneliness and depressive symptoms were examined longitudinally in the 2nd study. In Study 1, a nationally representative sample of persons aged 54 and older completed a telephone interview as part of a study of health and aging. Higher levels of loneliness were associated with more depressive symptoms, net of the effects of age, gender, ethnicity, education, income, marital status, social support, and perceived stress. In Study 2, detailed measures of loneliness, social support, perceived stress, hostility, and demographic characteristics were collected over a 3-year period from a population-based sample of adults ages 50-67 years from Cook County, Illinois. Loneliness was again associated with more depressive symptoms, net of demographic covariates, marital status, social support, hostility, and perceived stress. Latent variable growth models revealed reciprocal influences over time between loneliness and depressive symptomatology. These data suggest that loneliness and depressive symptomatology can act in a synergistic effect to diminish well-being in middle-aged and older adults. Copyright 2006 by the American Psychological Association.","author":[{"dropping-particle":"","family":"Cacioppo","given":"John T.","non-dropping-particle":"","parse-names":false,"suffix":""},{"dropping-particle":"","family":"Hughes","given":"Mary Elizabeth","non-dropping-particle":"","parse-names":false,"suffix":""},{"dropping-particle":"","family":"Waite","given":"Linda J.","non-dropping-particle":"","parse-names":false,"suffix":""},{"dropping-particle":"","family":"Hawkley","given":"Louise C.","non-dropping-particle":"","parse-names":false,"suffix":""},{"dropping-particle":"","family":"Thisted","given":"Ronald A.","non-dropping-particle":"","parse-names":false,"suffix":""}],"container-title":"Psychology and Aging","id":"ITEM-6","issue":"1","issued":{"date-parts":[["2006"]]},"page":"140-151","title":"Loneliness as a specific risk factor for depressive symptoms: Cross-sectional and longitudinal analyses","type":"article-journal","volume":"21"},"uris":["http://www.mendeley.com/documents/?uuid=c934501f-30e9-44fc-b956-5715ff514253"]}],"mendeley":{"formattedCitation":"(Cacioppo et al., 2006; Crewdson, 2016; Erzen and Çikrikci, 2018; Lambert Van As et al., 2022; Park et al., 2020; Wang et al., 2018)","plainTextFormattedCitation":"(Cacioppo et al., 2006; Crewdson, 2016; Erzen and Çikrikci, 2018; Lambert Van As et al., 2022; Park et al., 2020; Wang et al., 2018)","previouslyFormattedCitation":"(Cacioppo et al., 2006; Crewdson, 2016; Erzen and Çikrikci, 2018; Lambert Van As et al., 2022; Park et al., 2020; Wang et al., 2018)"},"properties":{"noteIndex":0},"schema":"https://github.com/citation-style-language/schema/raw/master/csl-citation.json"}</w:instrText>
      </w:r>
      <w:r w:rsidR="00226862" w:rsidRPr="00AD597A">
        <w:rPr>
          <w:sz w:val="24"/>
          <w:szCs w:val="24"/>
        </w:rPr>
        <w:fldChar w:fldCharType="separate"/>
      </w:r>
      <w:r w:rsidR="000443B6" w:rsidRPr="00A066FF">
        <w:rPr>
          <w:noProof/>
          <w:sz w:val="24"/>
          <w:szCs w:val="24"/>
        </w:rPr>
        <w:t>(Cacioppo et al., 2006; Crewdson, 2016; Erzen and Çikrikci, 2018; Lambert Van As et al., 2022; Park et al., 2020; Wang et al., 2018)</w:t>
      </w:r>
      <w:r w:rsidR="00226862" w:rsidRPr="00AD597A">
        <w:rPr>
          <w:sz w:val="24"/>
          <w:szCs w:val="24"/>
        </w:rPr>
        <w:fldChar w:fldCharType="end"/>
      </w:r>
      <w:r w:rsidR="00226862" w:rsidRPr="00AD597A">
        <w:rPr>
          <w:sz w:val="24"/>
          <w:szCs w:val="24"/>
        </w:rPr>
        <w:t xml:space="preserve">. </w:t>
      </w:r>
      <w:r w:rsidRPr="00AD597A">
        <w:rPr>
          <w:sz w:val="24"/>
          <w:szCs w:val="24"/>
        </w:rPr>
        <w:t>In Ireland, as elsewhere, social support networks play a crucial role in mental wellbeing</w:t>
      </w:r>
      <w:r w:rsidR="00055010" w:rsidRPr="00AD597A">
        <w:rPr>
          <w:sz w:val="24"/>
          <w:szCs w:val="24"/>
        </w:rPr>
        <w:t xml:space="preserve"> </w:t>
      </w:r>
      <w:r w:rsidR="00055010" w:rsidRPr="00AD597A">
        <w:rPr>
          <w:sz w:val="24"/>
          <w:szCs w:val="24"/>
        </w:rPr>
        <w:fldChar w:fldCharType="begin" w:fldLock="1"/>
      </w:r>
      <w:r w:rsidR="004648C4">
        <w:rPr>
          <w:sz w:val="24"/>
          <w:szCs w:val="24"/>
        </w:rPr>
        <w:instrText>ADDIN CSL_CITATION {"citationItems":[{"id":"ITEM-1","itemData":{"DOI":"10.1007/s11469-021-00710-z","ISBN":"1146902100710","ISSN":"15571882","abstract":"Social support is consistently associated with positive outcomes for students, in terms of wellbeing and academic achievement. For first year students, social support offers a way to deal with stressors associated with the challenge of transitioning to university. The current research was conducted with a range of first year students (n = 315) early in their first semester in university. Both male and female students reported moderate levels of social support and perceived stress, while those with higher levels of social support reported lower levels of stress. Gender differences were apparent in both the levels and sources of social support that students perceived as available to them. Female students reported higher levels of social support and stress than males, suggesting that university initiatives for enhancing social support and dealing with stress may require a gender-specific focus. The results are discussed in terms of recommendations for developing students’ social supports during first year, in order to mitigate for the experience of stress and to enhance student experience of their educational journey.","author":[{"dropping-particle":"","family":"McLean","given":"Lavinia","non-dropping-particle":"","parse-names":false,"suffix":""},{"dropping-particle":"","family":"Gaul","given":"David","non-dropping-particle":"","parse-names":false,"suffix":""},{"dropping-particle":"","family":"Penco","given":"Rebecca","non-dropping-particle":"","parse-names":false,"suffix":""}],"container-title":"International Journal of Mental Health and Addiction","id":"ITEM-1","issue":"4","issued":{"date-parts":[["2023"]]},"page":"2101-2121","publisher":"Springer US","title":"Perceived Social Support and Stress: a Study of 1st Year Students in Ireland","type":"article-journal","volume":"21"},"uris":["http://www.mendeley.com/documents/?uuid=e9cab58f-3297-44da-a2a0-094296171d85"]},{"id":"ITEM-2","itemData":{"DOI":"10.1007/s00038-011-0317-x","ISSN":"1420911X","PMID":"22048275","abstract":"Objectives This paper examines the relationships between indicators of positive and negative dimensions of mental health, social well-being and physical health. Methods The paper reports on data collected in the third National Survey of Lifestyle, Attitudes and Nutrition (SLÁ N 2007), a cross-sectional survey conducted with a representative sample of 10,364 Irish adults. The survey included measures of positive mental health and non-specific psychological distress from the SF-36 questionnaire, together with measures of social well-being, subjective health, and selected health behaviours. Results Positive mental health is predicted by lower levels of loneliness and higher levels of social support. Better self-rated health, positive health behaviours and lower GP consultation rates are associated with higher levels of positive mental health. Lower levels of social well-being, were found to be the strongest predictors of negative mental health. Conclusions Social well-being and health behaviours correlatewith both positive and negative mental health. These findings highlight the need to endorse comprehensive approaches to population mental health promotion. The inclusion of both positive and negative mental health indicators in future population health surveys is supported by the findings. © Swiss School of Public Health 2011.","author":[{"dropping-particle":"","family":"Lente","given":"Eric","non-dropping-particle":"Van","parse-names":false,"suffix":""},{"dropping-particle":"","family":"Barry","given":"Margaret M.","non-dropping-particle":"","parse-names":false,"suffix":""},{"dropping-particle":"","family":"Molcho","given":"Michal","non-dropping-particle":"","parse-names":false,"suffix":""},{"dropping-particle":"","family":"Morgan","given":"Karen","non-dropping-particle":"","parse-names":false,"suffix":""},{"dropping-particle":"","family":"Watson","given":"Dorothy","non-dropping-particle":"","parse-names":false,"suffix":""},{"dropping-particle":"","family":"Harrington","given":"Janas","non-dropping-particle":"","parse-names":false,"suffix":""},{"dropping-particle":"","family":"McGee","given":"Hannah","non-dropping-particle":"","parse-names":false,"suffix":""}],"container-title":"International Journal of Public Health","id":"ITEM-2","issue":"2","issued":{"date-parts":[["2012"]]},"page":"421-430","title":"Measuring population mental health and social well-being","type":"article-journal","volume":"57"},"uris":["http://www.mendeley.com/documents/?uuid=fb024919-ed39-4a25-a9f8-cbada531b3a3"]},{"id":"ITEM-3","itemData":{"DOI":"10.1007/s","abstract":"The purpose of this research is to examine preservice elementary school teachers’ geometry learning as investigated by both qualitative and quantitative methods. For the qualitative investigation, narrative analysis and thematic analysis methods were used. The findings of narrative analysis indicated two main kinds of stories: as a learner and as a beginning teacher. The thematic analysis findings yield to three themes: history of learning geometry, perceptions about geometry, effective geometry instructional practices. The findings informed the quantitative investigation on geometry content knowledge for the case of quadrilaterals. During the second phase of the study, 102 participants who enrolled in the methods course completed pre and post test of teachers’ geometry content knowledge. Treatment group participants (n=54) received series of activities (geometry activities and student work analysis) focusing on quadrilaterals, and control group participants (n=48) received traditional instruction. Repeated measures ANOVA results showed a significant change in treatment group participants’ geometry content knowledge. The mixed ANOVA results indicated a significant main effect of knowledge but no significant interaction between geometry content knowledge and grouping. Even though treatment group participants’ geometry content knowledge growth was significant, the difference between treatment group and control group participants’ growth in geometry content knowledge was not significant. This study informs mathematics teacher education in three important areas; limited knowledge of preservice teachers’ geometry content knowledge, integrating mathematics content and the context of teaching into methods course, and use of student work with preservice teachers.","author":[{"dropping-particle":"","family":"Portela","given":"M.","non-dropping-particle":"","parse-names":false,"suffix":""},{"dropping-particle":"","family":"Neira","given":"I.","non-dropping-particle":"","parse-names":false,"suffix":""},{"dropping-particle":"","family":"Salinas-Jiménez","given":"M.D.M.","non-dropping-particle":"","parse-names":false,"suffix":""}],"container-title":"Social Indicators Research","id":"ITEM-3","issue":"2","issued":{"date-parts":[["2013"]]},"page":"493-511","title":"Social capital and subjective wellbeing in Europe: A new approach on social capital","type":"article-journal","volume":"114"},"uris":["http://www.mendeley.com/documents/?uuid=bdbd712a-46c9-4b65-a9ac-b41a2f902ee2"]}],"mendeley":{"formattedCitation":"(McLean et al., 2023; Portela et al., 2013; Van Lente et al., 2012)","plainTextFormattedCitation":"(McLean et al., 2023; Portela et al., 2013; Van Lente et al., 2012)","previouslyFormattedCitation":"(McLean et al., 2023; Portela et al., 2013; Van Lente et al., 2012)"},"properties":{"noteIndex":0},"schema":"https://github.com/citation-style-language/schema/raw/master/csl-citation.json"}</w:instrText>
      </w:r>
      <w:r w:rsidR="00055010" w:rsidRPr="00AD597A">
        <w:rPr>
          <w:sz w:val="24"/>
          <w:szCs w:val="24"/>
        </w:rPr>
        <w:fldChar w:fldCharType="separate"/>
      </w:r>
      <w:r w:rsidR="00A066FF" w:rsidRPr="00A066FF">
        <w:rPr>
          <w:noProof/>
          <w:sz w:val="24"/>
          <w:szCs w:val="24"/>
        </w:rPr>
        <w:t>(McLean et al., 2023; Portela et al., 2013; Van Lente et al., 2012)</w:t>
      </w:r>
      <w:r w:rsidR="00055010" w:rsidRPr="00AD597A">
        <w:rPr>
          <w:sz w:val="24"/>
          <w:szCs w:val="24"/>
        </w:rPr>
        <w:fldChar w:fldCharType="end"/>
      </w:r>
      <w:r w:rsidRPr="00AD597A">
        <w:rPr>
          <w:sz w:val="24"/>
          <w:szCs w:val="24"/>
        </w:rPr>
        <w:t xml:space="preserve">. The finding that having few people to rely on is strongly associated with acute loneliness highlights the importance of these connections. This aligns with </w:t>
      </w:r>
      <w:r w:rsidR="00DC5129" w:rsidRPr="00AD597A">
        <w:rPr>
          <w:sz w:val="24"/>
          <w:szCs w:val="24"/>
        </w:rPr>
        <w:fldChar w:fldCharType="begin" w:fldLock="1"/>
      </w:r>
      <w:r w:rsidR="00B855F2" w:rsidRPr="00AD597A">
        <w:rPr>
          <w:sz w:val="24"/>
          <w:szCs w:val="24"/>
        </w:rPr>
        <w:instrText>ADDIN CSL_CITATION {"citationItems":[{"id":"ITEM-1","itemData":{"author":[{"dropping-particle":"","family":"Putnam","given":"R. D","non-dropping-particle":"","parse-names":false,"suffix":""}],"id":"ITEM-1","issued":{"date-parts":[["2000"]]},"publisher":"Simon &amp; Schuster","publisher-place":"New York","title":"Bowling alone: The collapse and revival of American community","type":"book"},"uris":["http://www.mendeley.com/documents/?uuid=6a44f2da-d9a3-4e9e-bb30-d3bbf082d30b"]}],"mendeley":{"formattedCitation":"(Putnam, 2000)","manualFormatting":"Putnam's (2000)","plainTextFormattedCitation":"(Putnam, 2000)","previouslyFormattedCitation":"(Putnam, 2000)"},"properties":{"noteIndex":0},"schema":"https://github.com/citation-style-language/schema/raw/master/csl-citation.json"}</w:instrText>
      </w:r>
      <w:r w:rsidR="00DC5129" w:rsidRPr="00AD597A">
        <w:rPr>
          <w:sz w:val="24"/>
          <w:szCs w:val="24"/>
        </w:rPr>
        <w:fldChar w:fldCharType="separate"/>
      </w:r>
      <w:r w:rsidR="00DC5129" w:rsidRPr="00AD597A">
        <w:rPr>
          <w:noProof/>
          <w:sz w:val="24"/>
          <w:szCs w:val="24"/>
        </w:rPr>
        <w:t>Putnam's (2000)</w:t>
      </w:r>
      <w:r w:rsidR="00DC5129" w:rsidRPr="00AD597A">
        <w:rPr>
          <w:sz w:val="24"/>
          <w:szCs w:val="24"/>
        </w:rPr>
        <w:fldChar w:fldCharType="end"/>
      </w:r>
      <w:r w:rsidR="004D16DE" w:rsidRPr="00AD597A">
        <w:rPr>
          <w:sz w:val="24"/>
          <w:szCs w:val="24"/>
        </w:rPr>
        <w:t xml:space="preserve"> </w:t>
      </w:r>
      <w:r w:rsidRPr="00AD597A">
        <w:rPr>
          <w:sz w:val="24"/>
          <w:szCs w:val="24"/>
        </w:rPr>
        <w:t xml:space="preserve">social capital theory, which posits that strong social networks contribute to individual and societal wellbeing. </w:t>
      </w:r>
    </w:p>
    <w:p w14:paraId="3E2878CC" w14:textId="192AB64A" w:rsidR="009E577D" w:rsidRDefault="009E577D" w:rsidP="00AE49E0">
      <w:pPr>
        <w:spacing w:line="360" w:lineRule="auto"/>
        <w:rPr>
          <w:sz w:val="24"/>
          <w:szCs w:val="24"/>
        </w:rPr>
      </w:pPr>
      <w:r w:rsidRPr="009E577D">
        <w:rPr>
          <w:sz w:val="24"/>
          <w:szCs w:val="24"/>
        </w:rPr>
        <w:t>The observed tendency for females to report higher levels of loneliness is a complex phenomenon influenced by socio-psychological factors</w:t>
      </w:r>
      <w:r w:rsidR="00E44E94">
        <w:rPr>
          <w:sz w:val="24"/>
          <w:szCs w:val="24"/>
        </w:rPr>
        <w:t xml:space="preserve"> </w:t>
      </w:r>
      <w:r w:rsidR="00E44E94" w:rsidRPr="00AD597A">
        <w:rPr>
          <w:sz w:val="24"/>
          <w:szCs w:val="24"/>
        </w:rPr>
        <w:fldChar w:fldCharType="begin" w:fldLock="1"/>
      </w:r>
      <w:r w:rsidR="004648C4">
        <w:rPr>
          <w:sz w:val="24"/>
          <w:szCs w:val="24"/>
        </w:rPr>
        <w:instrText>ADDIN CSL_CITATION {"citationItems":[{"id":"ITEM-1","itemData":{"DOI":"10.1016/j.psychres.2020.113648","ISSN":"18727123","PMID":"33348199","abstract":"This study sought to examine if mental health issues, namely depression and anxiety symptoms, and loneliness were experienced differently according to various demographic groups during the COVID-19 pandemic (i.e., a societal stressor). An online survey, comprising demographic questions and questionnaires on depression, anxiety and loneliness symptoms, was distributed in Canada during the height of social distancing restrictions during the COVID-19 pandemic. Respondents (N=661) from lower income households experienced greater anxiety, depression and loneliness. Specifically, loneliness was greater in those with an annual income &lt;$50,000/yr versus higher income brackets. Younger females (18-29yr) displayed greater anxiety, depressive symptoms and loneliness than their male counterparts; this difference did not exist among the other age groups (30-64yr, &gt;65yr). Moreover, loneliness scores increased with increasing depression and anxiety symptom severity category. The relationship between loneliness and depression symptoms was moderated by gender, such that females experienced higher depressive symptoms when encountering greater loneliness. These data identify younger females, individuals with lower income, and those living alone as experiencing greater loneliness and mental health challenges during the height of the pandemic in Canada. We highlight the strong relationship between loneliness, depression and anxiety, and emphasize increased vulnerability among certain cohorts.","author":[{"dropping-particle":"","family":"McQuaid","given":"Robyn J.","non-dropping-particle":"","parse-names":false,"suffix":""},{"dropping-particle":"","family":"Cox","given":"Sylvia M.L.","non-dropping-particle":"","parse-names":false,"suffix":""},{"dropping-particle":"","family":"Ogunlana","given":"Ayotola","non-dropping-particle":"","parse-names":false,"suffix":""},{"dropping-particle":"","family":"Jaworska","given":"Natalia","non-dropping-particle":"","parse-names":false,"suffix":""}],"container-title":"Psychiatry Research","id":"ITEM-1","issued":{"date-parts":[["2021"]]},"page":"113648","publisher":"Elsevier B.V.","title":"The burden of loneliness: Implications of the social determinants of health during COVID-19","type":"article-journal","volume":"296"},"uris":["http://www.mendeley.com/documents/?uuid=477314dd-c657-4087-89ff-e93a5fd05b57"]},{"id":"ITEM-2","itemData":{"abstract":"A widely held stereotype associates old age with social isolation and loneliness. However, only 5% to 15% percent of older adults report frequent loneliness. In this study, we report a meta-analysis of the correlates of loneliness in late adulthood. A U-shaped association between age and loneliness is identified. Quality of social network is correlated more strongly with loneliness , compared to quantity; contacts with friends and neighbors show stronger associations with loneliness, compared to contacts with family members. Being a woman, having low socioeconomic status and low competence, and living in nursing homes were also associated with higher loneliness. Age differences in the association of social contacts and competence with loneliness are investigated as well.","author":[{"dropping-particle":"","family":"Pinquart","given":"Martin","non-dropping-particle":"","parse-names":false,"suffix":""},{"dropping-particle":"","family":"Sörensen","given":"Silvia","non-dropping-particle":"","parse-names":false,"suffix":""}],"container-title":"Basic and Applied Social Psychology","id":"ITEM-2","issue":"4","issued":{"date-parts":[["2001"]]},"page":"245-266","title":"Influences on Loneliness in Older Adults: A Meta-Analysis","type":"article-journal","volume":"23"},"uris":["http://www.mendeley.com/documents/?uuid=8696c8df-c29c-4b52-a64f-86929f316cb1"]}],"mendeley":{"formattedCitation":"(McQuaid et al., 2021; Pinquart and Sörensen, 2001)","plainTextFormattedCitation":"(McQuaid et al., 2021; Pinquart and Sörensen, 2001)","previouslyFormattedCitation":"(McQuaid et al., 2021; Pinquart and Sörensen, 2001)"},"properties":{"noteIndex":0},"schema":"https://github.com/citation-style-language/schema/raw/master/csl-citation.json"}</w:instrText>
      </w:r>
      <w:r w:rsidR="00E44E94" w:rsidRPr="00AD597A">
        <w:rPr>
          <w:sz w:val="24"/>
          <w:szCs w:val="24"/>
        </w:rPr>
        <w:fldChar w:fldCharType="separate"/>
      </w:r>
      <w:r w:rsidR="000443B6" w:rsidRPr="00A066FF">
        <w:rPr>
          <w:noProof/>
          <w:sz w:val="24"/>
          <w:szCs w:val="24"/>
        </w:rPr>
        <w:t>(McQuaid et al., 2021; Pinquart and Sörensen, 2001)</w:t>
      </w:r>
      <w:r w:rsidR="00E44E94" w:rsidRPr="00AD597A">
        <w:rPr>
          <w:sz w:val="24"/>
          <w:szCs w:val="24"/>
        </w:rPr>
        <w:fldChar w:fldCharType="end"/>
      </w:r>
      <w:r w:rsidRPr="009E577D">
        <w:rPr>
          <w:sz w:val="24"/>
          <w:szCs w:val="24"/>
        </w:rPr>
        <w:t>. While research presents some variability, key explanations emphasi</w:t>
      </w:r>
      <w:r w:rsidR="00E44E94">
        <w:rPr>
          <w:sz w:val="24"/>
          <w:szCs w:val="24"/>
        </w:rPr>
        <w:t>s</w:t>
      </w:r>
      <w:r w:rsidRPr="009E577D">
        <w:rPr>
          <w:sz w:val="24"/>
          <w:szCs w:val="24"/>
        </w:rPr>
        <w:t>e differing social expectations and emotional processing. Women are often sociali</w:t>
      </w:r>
      <w:r w:rsidR="00E44E94">
        <w:rPr>
          <w:sz w:val="24"/>
          <w:szCs w:val="24"/>
        </w:rPr>
        <w:t>s</w:t>
      </w:r>
      <w:r w:rsidRPr="009E577D">
        <w:rPr>
          <w:sz w:val="24"/>
          <w:szCs w:val="24"/>
        </w:rPr>
        <w:t>ed to prioriti</w:t>
      </w:r>
      <w:r w:rsidR="00D95567">
        <w:rPr>
          <w:sz w:val="24"/>
          <w:szCs w:val="24"/>
        </w:rPr>
        <w:t>s</w:t>
      </w:r>
      <w:r w:rsidRPr="009E577D">
        <w:rPr>
          <w:sz w:val="24"/>
          <w:szCs w:val="24"/>
        </w:rPr>
        <w:t xml:space="preserve">e intimate relationships, making disruptions or perceived deficits in these connections particularly salient </w:t>
      </w:r>
      <w:r w:rsidR="002B37DB">
        <w:rPr>
          <w:sz w:val="24"/>
          <w:szCs w:val="24"/>
        </w:rPr>
        <w:fldChar w:fldCharType="begin" w:fldLock="1"/>
      </w:r>
      <w:r w:rsidR="004648C4">
        <w:rPr>
          <w:sz w:val="24"/>
          <w:szCs w:val="24"/>
        </w:rPr>
        <w:instrText>ADDIN CSL_CITATION {"citationItems":[{"id":"ITEM-1","itemData":{"DOI":"10.1037/0033-295X.107.3.411","ISSN":"0033295X","PMID":"10941275","abstract":"The human stress response has been characterized, both physiologically and behaviorally, as \"fight-or-flight.\" Although fight-or-flight may characterize the primary physiological responses to stress for both males and females, we propose that, behaviorally, females' responses are more marked by a pattern of \"tend-and-befriend.\" Tending involves nurturant activities designed to protect the self and offspring that promote safety and reduce distress; befriending is the creation and maintenance of social networks that may aid in this process. The biobehavioral mechanism that underlies the tend-and-befriend pattern appears to draw on the attachment-caregiving system, and neuroendocrine evidence from animal and human studies suggests that oxytocin, in conjunction with female reproductive hormones and endogenous opioid peptide mechanisms, may be at its core. This previously unexplored stress regulatory system has manifold implications for the study of stress.","author":[{"dropping-particle":"","family":"Taylor","given":"Shelley E.","non-dropping-particle":"","parse-names":false,"suffix":""},{"dropping-particle":"","family":"Klein","given":"Laura Cousino","non-dropping-particle":"","parse-names":false,"suffix":""},{"dropping-particle":"","family":"Lewis","given":"Brian P.","non-dropping-particle":"","parse-names":false,"suffix":""},{"dropping-particle":"","family":"Gruenewald","given":"Tara L.","non-dropping-particle":"","parse-names":false,"suffix":""},{"dropping-particle":"","family":"Gurung","given":"Regan A.R.","non-dropping-particle":"","parse-names":false,"suffix":""},{"dropping-particle":"","family":"Updegraff","given":"John A.","non-dropping-particle":"","parse-names":false,"suffix":""}],"container-title":"Psychological Review","id":"ITEM-1","issue":"3","issued":{"date-parts":[["2000"]]},"page":"411-429","title":"Biobehavioral responses to stress in females: Tend-and-befriend, not fight-or-flight","type":"article-journal","volume":"107"},"uris":["http://www.mendeley.com/documents/?uuid=d3a7b97b-306d-44e2-85ec-927d16f0fb6f"]}],"mendeley":{"formattedCitation":"(Taylor et al., 2000)","plainTextFormattedCitation":"(Taylor et al., 2000)","previouslyFormattedCitation":"(Taylor et al., 2000)"},"properties":{"noteIndex":0},"schema":"https://github.com/citation-style-language/schema/raw/master/csl-citation.json"}</w:instrText>
      </w:r>
      <w:r w:rsidR="002B37DB">
        <w:rPr>
          <w:sz w:val="24"/>
          <w:szCs w:val="24"/>
        </w:rPr>
        <w:fldChar w:fldCharType="separate"/>
      </w:r>
      <w:r w:rsidR="002B37DB" w:rsidRPr="00A066FF">
        <w:rPr>
          <w:noProof/>
          <w:sz w:val="24"/>
          <w:szCs w:val="24"/>
        </w:rPr>
        <w:t>(Taylor et al., 2000)</w:t>
      </w:r>
      <w:r w:rsidR="002B37DB">
        <w:rPr>
          <w:sz w:val="24"/>
          <w:szCs w:val="24"/>
        </w:rPr>
        <w:fldChar w:fldCharType="end"/>
      </w:r>
      <w:r w:rsidR="00417BAA">
        <w:rPr>
          <w:sz w:val="24"/>
          <w:szCs w:val="24"/>
        </w:rPr>
        <w:t xml:space="preserve">. </w:t>
      </w:r>
      <w:r w:rsidRPr="009E577D">
        <w:rPr>
          <w:sz w:val="24"/>
          <w:szCs w:val="24"/>
        </w:rPr>
        <w:t xml:space="preserve">Furthermore, women may exhibit a greater propensity to recognize and articulate emotional experiences, including loneliness, compared to men, who might be constrained by traditional masculine norms </w:t>
      </w:r>
      <w:r w:rsidR="00D674DF">
        <w:rPr>
          <w:sz w:val="24"/>
          <w:szCs w:val="24"/>
        </w:rPr>
        <w:fldChar w:fldCharType="begin" w:fldLock="1"/>
      </w:r>
      <w:r w:rsidR="00A16A78">
        <w:rPr>
          <w:sz w:val="24"/>
          <w:szCs w:val="24"/>
        </w:rPr>
        <w:instrText>ADDIN CSL_CITATION {"citationItems":[{"id":"ITEM-1","itemData":{"author":[{"dropping-particle":"","family":"Borys","given":"S.","non-dropping-particle":"","parse-names":false,"suffix":""},{"dropping-particle":"","family":"Perlman","given":"D","non-dropping-particle":"","parse-names":false,"suffix":""}],"container-title":"Personality and Social Psychology Bulletin","id":"ITEM-1","issue":"1","issued":{"date-parts":[["1985"]]},"page":"63-74","title":"Gender differences in loneliness","type":"article-journal","volume":"11"},"uris":["http://www.mendeley.com/documents/?uuid=c70c0021-d937-4eae-a03a-1c77e1efc982"]}],"mendeley":{"formattedCitation":"(Borys and Perlman, 1985)","plainTextFormattedCitation":"(Borys and Perlman, 1985)","previouslyFormattedCitation":"(Borys and Perlman, 1985)"},"properties":{"noteIndex":0},"schema":"https://github.com/citation-style-language/schema/raw/master/csl-citation.json"}</w:instrText>
      </w:r>
      <w:r w:rsidR="00D674DF">
        <w:rPr>
          <w:sz w:val="24"/>
          <w:szCs w:val="24"/>
        </w:rPr>
        <w:fldChar w:fldCharType="separate"/>
      </w:r>
      <w:r w:rsidR="00D674DF" w:rsidRPr="00D674DF">
        <w:rPr>
          <w:noProof/>
          <w:sz w:val="24"/>
          <w:szCs w:val="24"/>
        </w:rPr>
        <w:t>(Borys and Perlman, 1985)</w:t>
      </w:r>
      <w:r w:rsidR="00D674DF">
        <w:rPr>
          <w:sz w:val="24"/>
          <w:szCs w:val="24"/>
        </w:rPr>
        <w:fldChar w:fldCharType="end"/>
      </w:r>
      <w:r w:rsidR="00D674DF">
        <w:rPr>
          <w:sz w:val="24"/>
          <w:szCs w:val="24"/>
        </w:rPr>
        <w:t xml:space="preserve">. </w:t>
      </w:r>
      <w:r w:rsidRPr="009E577D">
        <w:rPr>
          <w:sz w:val="24"/>
          <w:szCs w:val="24"/>
        </w:rPr>
        <w:t>Life course factors, such as widowhood and caregiving responsibilities, which disproportionately affect women, also contribute to social isolation. It</w:t>
      </w:r>
      <w:r w:rsidR="008F79F4">
        <w:rPr>
          <w:sz w:val="24"/>
          <w:szCs w:val="24"/>
        </w:rPr>
        <w:t xml:space="preserve"> is</w:t>
      </w:r>
      <w:r w:rsidRPr="009E577D">
        <w:rPr>
          <w:sz w:val="24"/>
          <w:szCs w:val="24"/>
        </w:rPr>
        <w:t xml:space="preserve"> also important to acknowledge that the quality of social interactions, rather than mere quantity, holds significant weight for women</w:t>
      </w:r>
      <w:r w:rsidR="00A16A78">
        <w:rPr>
          <w:sz w:val="24"/>
          <w:szCs w:val="24"/>
        </w:rPr>
        <w:t xml:space="preserve"> </w:t>
      </w:r>
      <w:r w:rsidR="00A16A78">
        <w:rPr>
          <w:sz w:val="24"/>
          <w:szCs w:val="24"/>
        </w:rPr>
        <w:fldChar w:fldCharType="begin" w:fldLock="1"/>
      </w:r>
      <w:r w:rsidR="005D32BB">
        <w:rPr>
          <w:sz w:val="24"/>
          <w:szCs w:val="24"/>
        </w:rPr>
        <w:instrText>ADDIN CSL_CITATION {"citationItems":[{"id":"ITEM-1","itemData":{"DOI":"10.1007/BF00287685","ISSN":"03600025","abstract":"This paper is designed to empirically investigate sex differences in social support. Several types of sex differences are examined, including quantity and quality of support, the relationship between quantitative and qualitative measures of support, the number and source of support provided and received, and the relative predictive power of quality and quantity of support on well-being. The data are taken from the Supports of the Elderly, a national survey of older people (Kahn and Antonucci, 1984). Included in the present study are 214 men and 166 women ranging in age from 50 to 95 who are married and have at least one child. The analyses reveal that women have larger networks and receive supports from multiple sources, while men tend to rely on their spouses exclusively. Men report greater satisfaction with marriage than women. Quantitative supports are more related to qualitative supports for women than for men. For both sexes, the quality of support rather than the quantity of support has significantly greater effects on well-being; both the quantity and quality of social support have a greater impact on the well-being of women compared to men. © 1987 Plenum Publishing Corporation.","author":[{"dropping-particle":"","family":"Antonucci","given":"Toni C.","non-dropping-particle":"","parse-names":false,"suffix":""},{"dropping-particle":"","family":"Akiyama","given":"Hiroko","non-dropping-particle":"","parse-names":false,"suffix":""}],"container-title":"Sex Roles","id":"ITEM-1","issue":"11-12","issued":{"date-parts":[["1987"]]},"page":"737-749","title":"An examination of sex differences in social support among older men and women","type":"article-journal","volume":"17"},"uris":["http://www.mendeley.com/documents/?uuid=c2b37007-58eb-4419-bf16-9286cf1a69a9"]}],"mendeley":{"formattedCitation":"(Antonucci and Akiyama, 1987)","plainTextFormattedCitation":"(Antonucci and Akiyama, 1987)","previouslyFormattedCitation":"(Antonucci and Akiyama, 1987)"},"properties":{"noteIndex":0},"schema":"https://github.com/citation-style-language/schema/raw/master/csl-citation.json"}</w:instrText>
      </w:r>
      <w:r w:rsidR="00A16A78">
        <w:rPr>
          <w:sz w:val="24"/>
          <w:szCs w:val="24"/>
        </w:rPr>
        <w:fldChar w:fldCharType="separate"/>
      </w:r>
      <w:r w:rsidR="00A16A78" w:rsidRPr="00A16A78">
        <w:rPr>
          <w:noProof/>
          <w:sz w:val="24"/>
          <w:szCs w:val="24"/>
        </w:rPr>
        <w:t>(Antonucci and Akiyama, 1987)</w:t>
      </w:r>
      <w:r w:rsidR="00A16A78">
        <w:rPr>
          <w:sz w:val="24"/>
          <w:szCs w:val="24"/>
        </w:rPr>
        <w:fldChar w:fldCharType="end"/>
      </w:r>
      <w:r w:rsidRPr="009E577D">
        <w:rPr>
          <w:sz w:val="24"/>
          <w:szCs w:val="24"/>
        </w:rPr>
        <w:t>, meaning that a lack of perceived emotional support within social networks can heavily contribute to feelings of loneliness.</w:t>
      </w:r>
    </w:p>
    <w:p w14:paraId="1D393231" w14:textId="06892C6D" w:rsidR="009334AF" w:rsidRDefault="00427E98" w:rsidP="00AE49E0">
      <w:pPr>
        <w:spacing w:line="360" w:lineRule="auto"/>
        <w:rPr>
          <w:sz w:val="24"/>
          <w:szCs w:val="24"/>
        </w:rPr>
      </w:pPr>
      <w:r w:rsidRPr="00AD597A">
        <w:rPr>
          <w:sz w:val="24"/>
          <w:szCs w:val="24"/>
        </w:rPr>
        <w:t>The lower likelihood of loneliness among married individuals may reflect the buffering effect of spousal support, a finding consistent with other research</w:t>
      </w:r>
      <w:r w:rsidR="001A17AD" w:rsidRPr="00AD597A">
        <w:rPr>
          <w:sz w:val="24"/>
          <w:szCs w:val="24"/>
        </w:rPr>
        <w:t xml:space="preserve"> </w:t>
      </w:r>
      <w:r w:rsidR="00B855F2" w:rsidRPr="00AD597A">
        <w:rPr>
          <w:sz w:val="24"/>
          <w:szCs w:val="24"/>
        </w:rPr>
        <w:fldChar w:fldCharType="begin" w:fldLock="1"/>
      </w:r>
      <w:r w:rsidR="004648C4">
        <w:rPr>
          <w:sz w:val="24"/>
          <w:szCs w:val="24"/>
        </w:rPr>
        <w:instrText>ADDIN CSL_CITATION {"citationItems":[{"id":"ITEM-1","itemData":{"DOI":"10.1108/QAOA-04-2018-0015","ISSN":"20428766","abstract":"Purpose: The purpose of this paper is to investigate the relationship between the age-friendliness of local environments and self-reported loneliness for a representative sample of community-dwelling adults aged 55+ in Ireland. Design/methodology/approach: Data were from the Healthy and Positive Ageing Initiative Age friendly Cities and Counties Survey (n=10,540) (2016). Several age friendly indicators, as proposed by World Health Organisation, were included in this study: outdoor spaces and buildings; access to social services; social participation; respect and social inclusion; and transport. Loneliness was measured using five items from the UCLA Loneliness Scale. Informed by an ecological approach to ageing, multi-level negative binomial regression models were used to investigate the association between each age friendly indicator and social loneliness. Models were adjusted for known demographic, socio-economic and health correlates of loneliness. Findings: Average loneliness scores were significantly higher for those in poorer health, who lived alone, were materially deprived and those never or formerly married. Lower ratings and poorer outcomes for several interrelated age friendly place-based factors were significantly associated with higher loneliness scores: difficulty with transport, difficulty accessing social services, barriers to community activities, lower social engagement, and experiences and perceptions of ageism in the community; however, the effect sizes were small. Originality/value: This study identified several modifiable age friendly features of local environments that are associated with loneliness in this older population. The results of this study can inform coordinated local and national efforts to enhance the age-friendliness of local environments and reduce the risk and experience of loneliness among the ageing population in Ireland.","author":[{"dropping-particle":"","family":"Gibney","given":"Sarah","non-dropping-particle":"","parse-names":false,"suffix":""},{"dropping-particle":"","family":"Moore","given":"Tara","non-dropping-particle":"","parse-names":false,"suffix":""},{"dropping-particle":"","family":"Shannon","given":"Sinead","non-dropping-particle":"","parse-names":false,"suffix":""}],"container-title":"Quality in Ageing and Older Adults","id":"ITEM-1","issue":"2","issued":{"date-parts":[["2019"]]},"page":"80-96","title":"Loneliness in later life: a cross-sectional survey analysis of place-based factors in Ireland","type":"article-journal","volume":"20"},"uris":["http://www.mendeley.com/documents/?uuid=74cc4e79-6c52-48b8-aa95-b30a9c6dc44b"]},{"id":"ITEM-2","itemData":{"DOI":"10.1093/geront/gnt097","ISSN":"17585341","PMID":"24009171","abstract":"Purpose of the Study: This article examines the impact of early- and later-life circumstances on loneliness among people aged 65+ in Ireland. Design and Methods: Data are from the first wave of the Irish Longitudinal Study on Ageing, a nationally representative sample of community-dwelling adults aged 50+. The participants (N = 2,645) aged 65+ were included in the analysis. Because of the large number of never married persons in the older Irish population, we first used a multinomial logistic model to examine which childhood circumstances are associated with current marital status. We then estimated multiple regression models for loneliness, in stages conforming to the life course, to examine the extent to which early events are mediated by later events. Results: Poor childhood socioeconomic status (for men and women) and parental substance abuse (for men) have direct effects on loneliness at older ages. Implications: The results indicate the significance of the childhood environment for understanding loneliness in later life. Future research should examine possible pathways not currently measured that may be responsible for the association of early environment and later-life loneliness and explore the links between childhood and other measures of well-being in old age. The relationship of childhood socioeconomic deprivation and parental substance abuse with adult well-being should be an important consideration in social policy planning.","author":[{"dropping-particle":"","family":"Kamiya","given":"Yumiko","non-dropping-particle":"","parse-names":false,"suffix":""},{"dropping-particle":"","family":"Doyle","given":"Martha","non-dropping-particle":"","parse-names":false,"suffix":""},{"dropping-particle":"","family":"Henretta","given":"John C.","non-dropping-particle":"","parse-names":false,"suffix":""},{"dropping-particle":"","family":"Timonen","given":"Virpi","non-dropping-particle":"","parse-names":false,"suffix":""}],"container-title":"Gerontologist","id":"ITEM-2","issue":"5","issued":{"date-parts":[["2014"]]},"page":"773-783","title":"Early-life circumstances and later-life loneliness in Ireland","type":"article-journal","volume":"54"},"uris":["http://www.mendeley.com/documents/?uuid=b0831180-e1a1-4087-8df0-144705ad37e6"]}],"mendeley":{"formattedCitation":"(Gibney et al., 2019; Kamiya et al., 2014)","plainTextFormattedCitation":"(Gibney et al., 2019; Kamiya et al., 2014)","previouslyFormattedCitation":"(Gibney et al., 2019; Kamiya et al., 2014)"},"properties":{"noteIndex":0},"schema":"https://github.com/citation-style-language/schema/raw/master/csl-citation.json"}</w:instrText>
      </w:r>
      <w:r w:rsidR="00B855F2" w:rsidRPr="00AD597A">
        <w:rPr>
          <w:sz w:val="24"/>
          <w:szCs w:val="24"/>
        </w:rPr>
        <w:fldChar w:fldCharType="separate"/>
      </w:r>
      <w:r w:rsidR="000443B6" w:rsidRPr="00A066FF">
        <w:rPr>
          <w:noProof/>
          <w:sz w:val="24"/>
          <w:szCs w:val="24"/>
        </w:rPr>
        <w:t>(Gibney et al., 2019; Kamiya et al., 2014)</w:t>
      </w:r>
      <w:r w:rsidR="00B855F2" w:rsidRPr="00AD597A">
        <w:rPr>
          <w:sz w:val="24"/>
          <w:szCs w:val="24"/>
        </w:rPr>
        <w:fldChar w:fldCharType="end"/>
      </w:r>
      <w:r w:rsidRPr="00AD597A">
        <w:rPr>
          <w:sz w:val="24"/>
          <w:szCs w:val="24"/>
        </w:rPr>
        <w:t xml:space="preserve">. Conversely, unemployment and </w:t>
      </w:r>
      <w:r w:rsidR="004C40FB">
        <w:rPr>
          <w:sz w:val="24"/>
          <w:szCs w:val="24"/>
        </w:rPr>
        <w:t>undertaking home duties or other non-employed states</w:t>
      </w:r>
      <w:r w:rsidRPr="00AD597A">
        <w:rPr>
          <w:sz w:val="24"/>
          <w:szCs w:val="24"/>
        </w:rPr>
        <w:t xml:space="preserve">, </w:t>
      </w:r>
      <w:r w:rsidR="004C40FB">
        <w:rPr>
          <w:sz w:val="24"/>
          <w:szCs w:val="24"/>
        </w:rPr>
        <w:t xml:space="preserve">are </w:t>
      </w:r>
      <w:r w:rsidRPr="00AD597A">
        <w:rPr>
          <w:sz w:val="24"/>
          <w:szCs w:val="24"/>
        </w:rPr>
        <w:t>often associated with financial strain and social isolation,</w:t>
      </w:r>
      <w:r w:rsidR="004C40FB">
        <w:rPr>
          <w:sz w:val="24"/>
          <w:szCs w:val="24"/>
        </w:rPr>
        <w:t xml:space="preserve"> and thus</w:t>
      </w:r>
      <w:r w:rsidRPr="00AD597A">
        <w:rPr>
          <w:sz w:val="24"/>
          <w:szCs w:val="24"/>
        </w:rPr>
        <w:t xml:space="preserve"> c</w:t>
      </w:r>
      <w:r w:rsidR="004C40FB">
        <w:rPr>
          <w:sz w:val="24"/>
          <w:szCs w:val="24"/>
        </w:rPr>
        <w:t xml:space="preserve">ould </w:t>
      </w:r>
      <w:r w:rsidRPr="00AD597A">
        <w:rPr>
          <w:sz w:val="24"/>
          <w:szCs w:val="24"/>
        </w:rPr>
        <w:t>increase vulnerability to loneliness</w:t>
      </w:r>
      <w:r w:rsidR="00FF48E3">
        <w:rPr>
          <w:sz w:val="24"/>
          <w:szCs w:val="24"/>
        </w:rPr>
        <w:t xml:space="preserve"> </w:t>
      </w:r>
      <w:r w:rsidR="002F737B">
        <w:rPr>
          <w:sz w:val="24"/>
          <w:szCs w:val="24"/>
        </w:rPr>
        <w:fldChar w:fldCharType="begin" w:fldLock="1"/>
      </w:r>
      <w:r w:rsidR="000443B6">
        <w:rPr>
          <w:sz w:val="24"/>
          <w:szCs w:val="24"/>
        </w:rPr>
        <w:instrText>ADDIN CSL_CITATION {"citationItems":[{"id":"ITEM-1","itemData":{"DOI":"10.1016/j.socscimed.2021.114339","ISSN":"18735347","PMID":"34455335","abstract":"There is evidence that loneliness and unemployment each have a negative impact on public health. Both are experienced across the life course and are of increasing concern in light of the COVID-19 pandemic. This review seeks to examine the strength and direction of the relationship between loneliness and unemployment in working age individuals, and in particular the potential for a self-reinforcing cycle with combined healthcare outcomes. A systematic search was undertaken in Medline, PubMed, PsycINFO, Embase and EconLit from inception to December 2020. PRISMA reporting guidelines were followed throughout this review, study quality was assessed using the Joanna Briggs Institute checklist and results were summarised in a narrative synthesis. English language studies evaluating the relationship between loneliness and unemployment in higher income western countries were included. Thirty-seven studies were identified; 30 cross-sectional and 7 longitudinal. Loneliness was measured by a direct question or loneliness scale while unemployment was self-reported or retrieved from a national register. A positive association between unemployment and increased loneliness was observed across all studies. Thus, across the life-course a clear yet complex relationship exists between unemployment and greater experience of loneliness. The magnitude of this relationship increases with the severity of loneliness and appears to peak at age 30–34 and 50–59. Logistic regression provided the greatest consistency at statistical significance revealing at least a 40% increase in the likelihood of reporting loneliness when unemployed. Recent longitudinal studies identified in this review found higher levels of loneliness following job loss, but also that loneliness was predictive of unemployment suggesting potential bi-directionality in the relationship. This bi-directionality may create a multiplier effect between loneliness and unemployment to form a self-reinforcing relationship and greater health concerns for those most at risk. Thus, review findings suggest the need for cross-sector awareness and intervention to tackle both loneliness and unemployment.","author":[{"dropping-particle":"","family":"Morrish","given":"N.","non-dropping-particle":"","parse-names":false,"suffix":""},{"dropping-particle":"","family":"Medina-Lara","given":"A.","non-dropping-particle":"","parse-names":false,"suffix":""}],"container-title":"Social Science and Medicine","id":"ITEM-1","issue":"August","issued":{"date-parts":[["2021"]]},"page":"114339","publisher":"Elsevier Ltd","title":"Does unemployment lead to greater levels of loneliness? A systematic review","type":"article-journal","volume":"287"},"uris":["http://www.mendeley.com/documents/?uuid=e21b2581-8bfc-47c4-9952-0dfece88b03c"]}],"mendeley":{"formattedCitation":"(Morrish and Medina-Lara, 2021)","plainTextFormattedCitation":"(Morrish and Medina-Lara, 2021)","previouslyFormattedCitation":"(Morrish and Medina-Lara, 2021)"},"properties":{"noteIndex":0},"schema":"https://github.com/citation-style-language/schema/raw/master/csl-citation.json"}</w:instrText>
      </w:r>
      <w:r w:rsidR="002F737B">
        <w:rPr>
          <w:sz w:val="24"/>
          <w:szCs w:val="24"/>
        </w:rPr>
        <w:fldChar w:fldCharType="separate"/>
      </w:r>
      <w:r w:rsidR="002F737B" w:rsidRPr="002F737B">
        <w:rPr>
          <w:noProof/>
          <w:sz w:val="24"/>
          <w:szCs w:val="24"/>
        </w:rPr>
        <w:t>(Morrish and Medina-Lara, 2021)</w:t>
      </w:r>
      <w:r w:rsidR="002F737B">
        <w:rPr>
          <w:sz w:val="24"/>
          <w:szCs w:val="24"/>
        </w:rPr>
        <w:fldChar w:fldCharType="end"/>
      </w:r>
      <w:r w:rsidRPr="00AD597A">
        <w:rPr>
          <w:sz w:val="24"/>
          <w:szCs w:val="24"/>
        </w:rPr>
        <w:t xml:space="preserve">. </w:t>
      </w:r>
    </w:p>
    <w:p w14:paraId="4E4CB4BB" w14:textId="43EDFAE9" w:rsidR="00B4771F" w:rsidRPr="00AD597A" w:rsidRDefault="00B4771F" w:rsidP="00AE49E0">
      <w:pPr>
        <w:spacing w:line="360" w:lineRule="auto"/>
        <w:rPr>
          <w:sz w:val="24"/>
          <w:szCs w:val="24"/>
        </w:rPr>
      </w:pPr>
      <w:r w:rsidRPr="00AD597A">
        <w:rPr>
          <w:sz w:val="24"/>
          <w:szCs w:val="24"/>
        </w:rPr>
        <w:t xml:space="preserve">The </w:t>
      </w:r>
      <w:r>
        <w:rPr>
          <w:sz w:val="24"/>
          <w:szCs w:val="24"/>
        </w:rPr>
        <w:t xml:space="preserve">relatively </w:t>
      </w:r>
      <w:r w:rsidRPr="00AD597A">
        <w:rPr>
          <w:sz w:val="24"/>
          <w:szCs w:val="24"/>
        </w:rPr>
        <w:t xml:space="preserve">higher </w:t>
      </w:r>
      <w:r>
        <w:rPr>
          <w:sz w:val="24"/>
          <w:szCs w:val="24"/>
        </w:rPr>
        <w:t xml:space="preserve">association of </w:t>
      </w:r>
      <w:r w:rsidR="004C40FB">
        <w:rPr>
          <w:sz w:val="24"/>
          <w:szCs w:val="24"/>
        </w:rPr>
        <w:t xml:space="preserve">loneliness and </w:t>
      </w:r>
      <w:r>
        <w:rPr>
          <w:sz w:val="24"/>
          <w:szCs w:val="24"/>
        </w:rPr>
        <w:t>mental health</w:t>
      </w:r>
      <w:r w:rsidRPr="00AD597A">
        <w:rPr>
          <w:sz w:val="24"/>
          <w:szCs w:val="24"/>
        </w:rPr>
        <w:t xml:space="preserve"> </w:t>
      </w:r>
      <w:r>
        <w:rPr>
          <w:sz w:val="24"/>
          <w:szCs w:val="24"/>
        </w:rPr>
        <w:t>challenges</w:t>
      </w:r>
      <w:r w:rsidRPr="00AD597A">
        <w:rPr>
          <w:sz w:val="24"/>
          <w:szCs w:val="24"/>
        </w:rPr>
        <w:t xml:space="preserve"> among younger adults (15-29) aligns with emerging research </w:t>
      </w:r>
      <w:r w:rsidRPr="00AD597A">
        <w:rPr>
          <w:sz w:val="24"/>
          <w:szCs w:val="24"/>
        </w:rPr>
        <w:fldChar w:fldCharType="begin" w:fldLock="1"/>
      </w:r>
      <w:r w:rsidR="004648C4">
        <w:rPr>
          <w:sz w:val="24"/>
          <w:szCs w:val="24"/>
        </w:rPr>
        <w:instrText>ADDIN CSL_CITATION {"citationItems":[{"id":"ITEM-1","itemData":{"DOI":"10.1016/j.adolescence.2021.06.006","ISSN":"10959254","PMID":"34294429","abstract":"Introduction: Several studies have documented increases in adolescent loneliness and depression in the U.S., UK, and Canada after 2012, but it is unknown whether these trends appear worldwide or whether they are linked to factors such as economic conditions, technology use, or changes in family size. Methods: The Programme for International Student Assessment (PISA) survey of 15- and 16-year-old students around the world included a 6-item measure of school loneliness in 2000, 2003, 2012, 2015, and 2018 (n = 1,049,784, 51% female) across 37 countries. Results: School loneliness increased 2012–2018 in 36 out of 37 countries. Worldwide, nearly twice as many adolescents in 2018 (vs. 2012) had elevated levels of school loneliness. Increases in loneliness were larger among girls than among boys and in countries with full measurement invariance. In multi-level modeling analyses, school loneliness was high when smartphone access and internet use were high. In contrast, higher unemployment rates predicted lower school loneliness. Income inequality, GDP, and total fertility rate (family size) were not significantly related to school loneliness when matched by year. School loneliness was positively correlated with negative affect and negatively correlated with positive affect and life satisfaction, suggesting the measure has broad implications for adolescent well-being. Conclusions: The psychological well-being of adolescents around the world began to decline after 2012, in conjunction with the rise of smartphone access and increased internet use, though causation cannot be proven and more years of data will provide a more complete picture.","author":[{"dropping-particle":"","family":"Twenge","given":"Jean M.","non-dropping-particle":"","parse-names":false,"suffix":""},{"dropping-particle":"","family":"Haidt","given":"Jonathan","non-dropping-particle":"","parse-names":false,"suffix":""},{"dropping-particle":"","family":"Blake","given":"Andrew B.","non-dropping-particle":"","parse-names":false,"suffix":""},{"dropping-particle":"","family":"McAllister","given":"Cooper","non-dropping-particle":"","parse-names":false,"suffix":""},{"dropping-particle":"","family":"Lemon","given":"Hannah","non-dropping-particle":"","parse-names":false,"suffix":""},{"dropping-particle":"","family":"Roy","given":"Astrid","non-dropping-particle":"Le","parse-names":false,"suffix":""}],"container-title":"Journal of Adolescence","id":"ITEM-1","issue":"June","issued":{"date-parts":[["2021"]]},"page":"257-269","publisher":"Elsevier Ltd","title":"Worldwide increases in adolescent loneliness","type":"article-journal","volume":"93"},"uris":["http://www.mendeley.com/documents/?uuid=240f8920-b7a2-4533-b344-4382e279aaad"]},{"id":"ITEM-2","itemData":{"DOI":"10.1016/S2352-4642(20)30213-3","ISSN":"23524642","author":[{"dropping-particle":"","family":"Siva","given":"Nayanah","non-dropping-particle":"","parse-names":false,"suffix":""}],"container-title":"The Lancet Child and Adolescent Health","id":"ITEM-2","issue":"8","issued":{"date-parts":[["2020"]]},"page":"567-568","publisher":"Elsevier Ltd","title":"Loneliness in children and young people in the UK","type":"article-journal","volume":"4"},"uris":["http://www.mendeley.com/documents/?uuid=923b86ac-8c21-4756-a088-13e1e1905213"]},{"id":"ITEM-3","itemData":{"DOI":"10.1016/j.jadohealth.2020.08.009","ISSN":"18791972","PMID":"33099414","abstract":"Purpose: Young adults are at high risk for increases in loneliness and mental health problems during the COVID-19 pandemic. The present study examined increases in loneliness in a young adult sample, for whom increases were greater, and association with increases in depression and anxiety. Method: Data from 564 young adults (ages 22–29, 60.7% women) were collected in January 2020 (pre-pandemic) and April/May 2020 (during pandemic). Results: Loneliness increased from January to April/May and changes in loneliness were greater for females, those with higher perceived social support in January, and those with greater concerns about the pandemic's social impacts. Depression (but not anxiety) increased during this time with changes in loneliness accounting for much of the increase in depression. Conclusions: Intervention strategies with young adults need to address loneliness and feelings of reduced social support during this time, especially for those who may have had greater disruption in their social lives.","author":[{"dropping-particle":"","family":"Lee","given":"Christine M.","non-dropping-particle":"","parse-names":false,"suffix":""},{"dropping-particle":"","family":"Cadigan","given":"Jennifer M.","non-dropping-particle":"","parse-names":false,"suffix":""},{"dropping-particle":"","family":"Rhew","given":"Isaac C.","non-dropping-particle":"","parse-names":false,"suffix":""}],"container-title":"Journal of Adolescent Health","id":"ITEM-3","issue":"5","issued":{"date-parts":[["2020"]]},"page":"714-717","publisher":"Elsevier Inc.","title":"Increases in Loneliness Among Young Adults During the COVID-19 Pandemic and Association With Increases in Mental Health Problems","type":"article-journal","volume":"67"},"uris":["http://www.mendeley.com/documents/?uuid=0da38cf0-b2a3-4727-bf3c-d116d5845729"]},{"id":"ITEM-4","itemData":{"abstract":"A new EU-wide survey yields insights into how feelings of loneliness are related to the size and quality of social relationships, major life events and other important factors. In 2022, more than one-third of respondents was lonely at least sometimes and 13% was lonely most of the time. The prevalence of loneliness decreases with rising age, income, and education. Having several meaningful relationships is associated with lower loneliness, but also the frequency of contacts matters. Those experiencing major life events such as separation, job loss or end their studies are more often lonely.","author":[{"dropping-particle":"","family":"Berlingieri","given":"F.","non-dropping-particle":"","parse-names":false,"suffix":""},{"dropping-particle":"","family":"Colagrossi","given":"M","non-dropping-particle":"","parse-names":false,"suffix":""},{"dropping-particle":"","family":"Mauri","given":"C","non-dropping-particle":"","parse-names":false,"suffix":""}],"id":"ITEM-4","issued":{"date-parts":[["2023"]]},"publisher":"European Commission","title":"Loneliness and social connectedness: insights from a new EU-wide survey","type":"book","volume":"JRC133351"},"uris":["http://www.mendeley.com/documents/?uuid=332dc588-cfef-41b3-9ee3-52cd9c2a5614"]}],"mendeley":{"formattedCitation":"(Berlingieri et al., 2023; Lee et al., 2020; Siva, 2020; Twenge et al., 2021)","plainTextFormattedCitation":"(Berlingieri et al., 2023; Lee et al., 2020; Siva, 2020; Twenge et al., 2021)","previouslyFormattedCitation":"(Berlingieri et al., 2023; Lee et al., 2020; Siva, 2020; Twenge et al., 2021)"},"properties":{"noteIndex":0},"schema":"https://github.com/citation-style-language/schema/raw/master/csl-citation.json"}</w:instrText>
      </w:r>
      <w:r w:rsidRPr="00AD597A">
        <w:rPr>
          <w:sz w:val="24"/>
          <w:szCs w:val="24"/>
        </w:rPr>
        <w:fldChar w:fldCharType="separate"/>
      </w:r>
      <w:r w:rsidR="000443B6" w:rsidRPr="00A066FF">
        <w:rPr>
          <w:noProof/>
          <w:sz w:val="24"/>
          <w:szCs w:val="24"/>
        </w:rPr>
        <w:t>(Berlingieri et al., 2023; Lee et al., 2020; Siva, 2020; Twenge et al., 2021)</w:t>
      </w:r>
      <w:r w:rsidRPr="00AD597A">
        <w:rPr>
          <w:sz w:val="24"/>
          <w:szCs w:val="24"/>
        </w:rPr>
        <w:fldChar w:fldCharType="end"/>
      </w:r>
      <w:r w:rsidRPr="00AD597A">
        <w:rPr>
          <w:sz w:val="24"/>
          <w:szCs w:val="24"/>
        </w:rPr>
        <w:t xml:space="preserve">. This could be linked to the unique challenges faced by young adults in contemporary Irish society, including pressures related to education, employment, and the housing crisis </w:t>
      </w:r>
      <w:r w:rsidRPr="00AD597A">
        <w:rPr>
          <w:sz w:val="24"/>
          <w:szCs w:val="24"/>
        </w:rPr>
        <w:fldChar w:fldCharType="begin" w:fldLock="1"/>
      </w:r>
      <w:r w:rsidR="004648C4">
        <w:rPr>
          <w:sz w:val="24"/>
          <w:szCs w:val="24"/>
        </w:rPr>
        <w:instrText>ADDIN CSL_CITATION {"citationItems":[{"id":"ITEM-1","itemData":{"ISSN":"14661810","abstract":"Recent years have witnessed the rapid decline in homeownership across a number of developed societies and the growth of an increasingly unaffordable and insecure private rental sector. While a growing literature examines the conditions shaping this transformation, less attention has focused on the extent and nature of the precarities experienced by ‘Generation Rent.’ To address this gap, this paper connects debates within the generation rent literature with more recent work on housing precarity, or the uncertainty arising from the experience of insecure, unaffordable and poor-quality housing. The article develops and applies a Housing Precarity Index (HPI) to data on private renters in Ireland to provide a nuanced account of the extent and severity of precarities in the Irish rental sector among differing sub-groups during a housing market crash and dubious ‘recovery’ period (2008 − 2016). The article identifies the key drivers of housing precarity and assesses their contribution to further declining living standards among renters into the future.","author":[{"dropping-particle":"","family":"Waldron","given":"Richard","non-dropping-particle":"","parse-names":false,"suffix":""}],"container-title":"Housing Studies","id":"ITEM-1","issue":"0","issued":{"date-parts":[["2021"]]},"page":"1-25","publisher":"Routledge","title":"Generation Rent and housing precarity in ‘post crisis’ Ireland","type":"article-journal","volume":"0"},"uris":["http://www.mendeley.com/documents/?uuid=4cb409a2-e5ac-4670-92bd-73e1d452e3e7"]},{"id":"ITEM-2","itemData":{"DOI":"10.1017/ipm.2022.2","ISSN":"20516967","PMID":"35177152","abstract":"Objectives: To examine levels of psychological distress among higher education students in Ireland overall and across a range of personal, higher education, and socioeconomic characteristics, prior to the COVID-19 pandemic. Methods: A cross-sectional online survey of college students in Ireland was undertaken in 2018. Data on 5201 students from 13 higher education institutions (HEIs) were analyzed. Stress, anxiety, and depression symptom scores based on the Depression, Anxiety and Stress Scale (DASS-21) were calculated and reported, with statistical testing used to compare across groups. Results: Overall, 29.6% and 19.1% of respondents were classified in the mild to moderate and severe to extremely severe range for depression respectively. The corresponding proportions were 25.9% and 20.7% for anxiety, and 24.5% and 14.8% for stress. Differences across groups included higher levels of psychological distress for transgender and female students compared to males (p &lt; 0.01), for gay/lesbian/bisexual students compared to heterosexuals (p &lt; 0.01), for undergraduates compared to postgraduates (p &lt; 0.01), for students from intermediate/technical/service/unskilled social classes compared to professional/self-employed social classes (p &lt; 0.01), and for those with financial difficulties compared to those without financial difficulties (p &lt; 0.01). Conclusions: Rates of psychological distress were high amongst college students in Ireland prior to the COVID-19 pandemic, with substantial differences across groups. Due to study limitations, such as possible selection bias, the findings need replication. Further research is needed to determine the impact of the pandemic on the prevalence of mental illness in this population.","author":[{"dropping-particle":"","family":"Cullinan","given":"J.","non-dropping-particle":"","parse-names":false,"suffix":""},{"dropping-particle":"","family":"Walsh","given":"S.","non-dropping-particle":"","parse-names":false,"suffix":""},{"dropping-particle":"","family":"Flannery","given":"D.","non-dropping-particle":"","parse-names":false,"suffix":""},{"dropping-particle":"","family":"Kennelly","given":"B.","non-dropping-particle":"","parse-names":false,"suffix":""}],"container-title":"Irish Journal of Psychological Medicine","id":"ITEM-2","issued":{"date-parts":[["2022"]]},"page":"211-219","title":"A cross-sectional analysis of psychological distress among higher education students in Ireland","type":"article-journal"},"uris":["http://www.mendeley.com/documents/?uuid=28ae1373-7c6d-48ee-8563-2fd8055df2b0"]},{"id":"ITEM-3","itemData":{"DOI":"10.3390/children9071037","ISSN":"22279067","abstract":"The sudden health and economic crisis brought about by the COVID-19 pandemic affords an opportunity to examine the impact of economic disruption to children and families. Any negative effects on the well-being of children are important to consider in relation to both short- and long-term outcomes. Using pre-pandemic and mid-pandemic waves of the longitudinal Growing Up in Ireland study, we examined whether the impact of economic disruption was equivalent for families who were (or were not) financially vulnerable pre-pandemic. We then investigated whether economic disruption was associated with a negative effect on the emotional well-being of 12-year-olds, and if there was evidence for such a negative effect being mediated through a lack of material resources or strain on family dynamics. Our results indicated that middle-income rather than lowest-income families experienced the most economic disruption, likely reflecting the sector-specific nature of business closures in the pandemic. Families who were financially vulnerable pre-pandemic were less likely to have had suitable resources for homeschooling. Both falls in income and strain in family relationships, such as arguing more with their parents, were associated with poorer scores on a measure of the child’s emotional well-being. The emergency income support payment introduced at the start of the pandemic appeared to have a protective effect on the association between family income loss and child well-being, which has wider implications for policy on child poverty.","author":[{"dropping-particle":"","family":"Smyth","given":"Emer","non-dropping-particle":"","parse-names":false,"suffix":""},{"dropping-particle":"","family":"Murray","given":"Aisling","non-dropping-particle":"","parse-names":false,"suffix":""}],"container-title":"Children","id":"ITEM-3","issue":"7","issued":{"date-parts":[["2022"]]},"title":"The Effect of Pandemic-Related Economic Disruption on Young Adolescents in Ireland","type":"article-journal","volume":"9"},"uris":["http://www.mendeley.com/documents/?uuid=b752135f-772e-41aa-bb48-8e8e88cea921"]}],"mendeley":{"formattedCitation":"(Cullinan et al., 2022; Smyth and Murray, 2022; Waldron, 2021)","plainTextFormattedCitation":"(Cullinan et al., 2022; Smyth and Murray, 2022; Waldron, 2021)","previouslyFormattedCitation":"(Cullinan et al., 2022; Smyth and Murray, 2022; Waldron, 2021)"},"properties":{"noteIndex":0},"schema":"https://github.com/citation-style-language/schema/raw/master/csl-citation.json"}</w:instrText>
      </w:r>
      <w:r w:rsidRPr="00AD597A">
        <w:rPr>
          <w:sz w:val="24"/>
          <w:szCs w:val="24"/>
        </w:rPr>
        <w:fldChar w:fldCharType="separate"/>
      </w:r>
      <w:r w:rsidR="000443B6" w:rsidRPr="00A066FF">
        <w:rPr>
          <w:noProof/>
          <w:sz w:val="24"/>
          <w:szCs w:val="24"/>
        </w:rPr>
        <w:t>(Cullinan et al., 2022; Smyth and Murray, 2022; Waldron, 2021)</w:t>
      </w:r>
      <w:r w:rsidRPr="00AD597A">
        <w:rPr>
          <w:sz w:val="24"/>
          <w:szCs w:val="24"/>
        </w:rPr>
        <w:fldChar w:fldCharType="end"/>
      </w:r>
      <w:r w:rsidRPr="00AD597A">
        <w:rPr>
          <w:sz w:val="24"/>
          <w:szCs w:val="24"/>
        </w:rPr>
        <w:t>. Furthermore, the digital age, while offering new avenues for connection, can also contribute to feelings of inadequacy and social comparison among younger people, potentially exacerbating</w:t>
      </w:r>
      <w:r>
        <w:rPr>
          <w:sz w:val="24"/>
          <w:szCs w:val="24"/>
        </w:rPr>
        <w:t xml:space="preserve"> mental health difficulties</w:t>
      </w:r>
      <w:r w:rsidRPr="00AD597A">
        <w:rPr>
          <w:sz w:val="24"/>
          <w:szCs w:val="24"/>
        </w:rPr>
        <w:t xml:space="preserve"> </w:t>
      </w:r>
      <w:r w:rsidRPr="00AD597A">
        <w:rPr>
          <w:sz w:val="24"/>
          <w:szCs w:val="24"/>
        </w:rPr>
        <w:fldChar w:fldCharType="begin" w:fldLock="1"/>
      </w:r>
      <w:r w:rsidR="000F3A06">
        <w:rPr>
          <w:sz w:val="24"/>
          <w:szCs w:val="24"/>
        </w:rPr>
        <w:instrText>ADDIN CSL_CITATION {"citationItems":[{"id":"ITEM-1","itemData":{"DOI":"10.1016/j.chb.2016.03.084","ISSN":"07475632","abstract":"Social media use continues to grow and is especially prevalent among young adults. It is surprising then that, in spite of this enhanced interconnectivity, young adults may be lonelier than other age groups, and that the current generation may be the loneliest ever. We propose that only image-based platforms (e.g., Instagram, Snapchat) have the potential to ameliorate loneliness due to the enhanced intimacy they offer. In contrast, text-based platforms (e.g., Twitter, Yik Yak) offer little intimacy and should have no effect on loneliness. This study (N = 253) uses a mixed-design survey to test this possibility. Quantitative results suggest that loneliness may decrease, while happiness and satisfaction with life may increase, as a function of image-based social media use. In contrast, text-based media use appears ineffectual. Qualitative results suggest that the observed effects may be due to the enhanced intimacy offered by image-based (versus text-based) social media use.","author":[{"dropping-particle":"","family":"Pittman","given":"Matthew","non-dropping-particle":"","parse-names":false,"suffix":""},{"dropping-particle":"","family":"Reich","given":"Brandon","non-dropping-particle":"","parse-names":false,"suffix":""}],"container-title":"Computers in Human Behavior","id":"ITEM-1","issued":{"date-parts":[["2016"]]},"page":"155-167","publisher":"Elsevier Ltd","title":"Social media and loneliness: Why an Instagram picture may be worth more than a thousand Twitter words","type":"article-journal","volume":"62"},"uris":["http://www.mendeley.com/documents/?uuid=41262de8-28c2-4cc0-88b1-03803cd2018f"]},{"id":"ITEM-2","itemData":{"DOI":"10.1093/her/cyac010","ISSN":"14653648","PMID":"35543267","abstract":"Highly visual social media (HVSM) platforms, such as Snapchat, Instagram and TikTok, are increasingly popular among young people. It is unclear what motivates young people to engage with these specific highly visual platforms and what impact the inherent features of HVSM have on young people's mental health. Nine semi-structured focus group sessions were conducted with males and females aged 14 and 15 years (n = 47) across five secondary schools in Northern Ireland. Thematic analyses were conducted, and a conceptual model was developed to illustrate the findings. This study found that features such as likes/comments on visuals and scrolling through a feed were associated with the role of 'viewer', instigating longer-lasting feelings of jealousy, inferiority and pressure to be accepted. To combat these negative emotions, young people turn to the role of 'contributor' by using filters, selecting highlights to post to their feed and adjusting their personas, resulting in temporary feelings of higher self-esteem, greater acceptance and popularity. As users of HVSM are constantly switching between the role of viewer and contributor, the emotions they experience are also constantly switching between instant inadequacy and instant gratification. HVSM appears to trigger an unrelenting process of emotional highs and lows for its adolescent users.","author":[{"dropping-particle":"","family":"Mccrory","given":"Alanna","non-dropping-particle":"","parse-names":false,"suffix":""},{"dropping-particle":"","family":"Best","given":"Paul","non-dropping-particle":"","parse-names":false,"suffix":""},{"dropping-particle":"","family":"Maddock","given":"Alan","non-dropping-particle":"","parse-names":false,"suffix":""}],"container-title":"Health Education Research","id":"ITEM-2","issue":"3","issued":{"date-parts":[["2022"]]},"page":"167-184","title":"'It's just one big vicious circle': young people's experiences of highly visual social media and their mental health","type":"article-journal","volume":"37"},"uris":["http://www.mendeley.com/documents/?uuid=546b3f3a-07ea-4965-b4c7-7f8e6991f21a"]},{"id":"ITEM-3","itemData":{"ISSN":"18732607","PMID":"28279545","abstract":"Introduction Perceived social isolation (PSI) is associated with substantial morbidity and mortality. Social media platforms, commonly used by young adults, may offer an opportunity to ameliorate social isolation. This study assessed associations between social media use (SMU) and PSI among U.S. young adults. Methods Participants were a nationally representative sample of 1,787 U.S. adults aged 19–32 years. They were recruited in October–November 2014 for a cross-sectional survey using a sampling frame that represented 97% of the U.S. population. SMU was assessed using both time and frequency associated with use of 11 social media platforms, including Facebook, Twitter, Google+, YouTube, LinkedIn, Instagram, Pinterest, Tumblr, Vine, Snapchat, and Reddit. PSI was measured using the Patient-Reported Outcomes Measurement Information System scale. In 2015, ordered logistic regression was used to assess associations between SMU and SI while controlling for eight covariates. Results In fully adjusted multivariable models that included survey weights, compared with those in the lowest quartile for SMU time, participants in the highest quartile had twice the odds of having greater PSI (AOR=2.0, 95% CI=1.4, 2.8). Similarly, compared with those in the lowest quartile, those in the highest quartile of SMU frequency had more than three times the odds of having greater PSI (AOR=3.4, 95% CI=2.3, 5.1). Associations were linear (p&lt;0.001 for all), and results were robust to all sensitivity analyses. Conclusions Young adults with high SMU seem to feel more socially isolated than their counterparts with lower SMU. Future research should focus on determining directionality and elucidating reasons for these associations.","author":[{"dropping-particle":"","family":"Primack","given":"Brian A.","non-dropping-particle":"","parse-names":false,"suffix":""},{"dropping-particle":"","family":"Shensa","given":"Ariel","non-dropping-particle":"","parse-names":false,"suffix":""},{"dropping-particle":"","family":"Sidani","given":"Jaime E.","non-dropping-particle":"","parse-names":false,"suffix":""},{"dropping-particle":"","family":"Whaite","given":"Erin O.","non-dropping-particle":"","parse-names":false,"suffix":""},{"dropping-particle":"","family":"Lin","given":"Liu yi","non-dropping-particle":"","parse-names":false,"suffix":""},{"dropping-particle":"","family":"Rosen","given":"Daniel","non-dropping-particle":"","parse-names":false,"suffix":""},{"dropping-particle":"","family":"Colditz","given":"Jason B.","non-dropping-particle":"","parse-names":false,"suffix":""},{"dropping-particle":"","family":"Radovic","given":"Ana","non-dropping-particle":"","parse-names":false,"suffix":""},{"dropping-particle":"","family":"Miller","given":"Elizabeth","non-dropping-particle":"","parse-names":false,"suffix":""}],"container-title":"American Journal of Preventive Medicine","id":"ITEM-3","issue":"1","issued":{"date-parts":[["2017"]]},"page":"1-8","publisher":"Elsevier Inc.","title":"Social Media Use and Perceived Social Isolation Among Young Adults in the U.S.","type":"article-journal","volume":"53"},"uris":["http://www.mendeley.com/documents/?uuid=07213884-cee7-44ae-b5f8-2e65e032a9a2"]},{"id":"ITEM-4","itemData":{"abstract":"A Surgeon General’s Advisory is a public statement that calls the American people’s attention to an urgent public health issue and provides recommendations for how it should be addressed. Advisories are reserved for significant public health challenges that require the nation’s immediate awareness and action. This Advisory calls attention to the growing concerns about the effects of social media on youth mental health. It explores and describes the current evidence on the positive and negative impacts of social media on children and adolescents, some of the primary areas for mental health and well-being concerns, and opportunities for additional research to help understand the full scope and scale of social media’s impact. This document is not an exhaustive review of the literature. Rather, it was developed through a substantial review of the available evidence, primarily found via electronic searches of research articles published in English and resources suggested by a wide range of subject matter experts, with priority given to, but not limited to, meta-analyses and systematic literature reviews. It also offers actionable recommendations for the institutions that can shape online environments—policymakers and technology companies—as well as for what parents and caregivers, young people, and researchers can do","author":[{"dropping-particle":"","family":"US Surgeon General","given":"","non-dropping-particle":"","parse-names":false,"suffix":""}],"container-title":"Office of the Surgeon General","id":"ITEM-4","issued":{"date-parts":[["2023"]]},"number-of-pages":"25","publisher":"Office of the U.S. Surgeon General","title":"Social Media and Youth Mental Health: The U.S. Surgeon General’s Advisory","type":"book"},"uris":["http://www.mendeley.com/documents/?uuid=9ba7f1d8-ca77-4548-8ce2-191d013d2835"]}],"mendeley":{"formattedCitation":"(Mccrory et al., 2022; Pittman and Reich, 2016; Primack et al., 2017; US Surgeon General, 2023b)","plainTextFormattedCitation":"(Mccrory et al., 2022; Pittman and Reich, 2016; Primack et al., 2017; US Surgeon General, 2023b)","previouslyFormattedCitation":"(Mccrory et al., 2022; Pittman and Reich, 2016; Primack et al., 2017; US Surgeon General, 2023b)"},"properties":{"noteIndex":0},"schema":"https://github.com/citation-style-language/schema/raw/master/csl-citation.json"}</w:instrText>
      </w:r>
      <w:r w:rsidRPr="00AD597A">
        <w:rPr>
          <w:sz w:val="24"/>
          <w:szCs w:val="24"/>
        </w:rPr>
        <w:fldChar w:fldCharType="separate"/>
      </w:r>
      <w:r w:rsidR="004648C4" w:rsidRPr="004648C4">
        <w:rPr>
          <w:noProof/>
          <w:sz w:val="24"/>
          <w:szCs w:val="24"/>
        </w:rPr>
        <w:t>(Mccrory et al., 2022; Pittman and Reich, 2016; Primack et al., 2017; US Surgeon General, 2023b)</w:t>
      </w:r>
      <w:r w:rsidRPr="00AD597A">
        <w:rPr>
          <w:sz w:val="24"/>
          <w:szCs w:val="24"/>
        </w:rPr>
        <w:fldChar w:fldCharType="end"/>
      </w:r>
      <w:r w:rsidRPr="00AD597A">
        <w:rPr>
          <w:sz w:val="24"/>
          <w:szCs w:val="24"/>
        </w:rPr>
        <w:t>.</w:t>
      </w:r>
    </w:p>
    <w:p w14:paraId="0BB78C7E" w14:textId="762B24E6" w:rsidR="004B22A5" w:rsidRDefault="004B22A5" w:rsidP="00427E98">
      <w:pPr>
        <w:spacing w:line="360" w:lineRule="auto"/>
        <w:rPr>
          <w:sz w:val="24"/>
          <w:szCs w:val="24"/>
        </w:rPr>
      </w:pPr>
      <w:r w:rsidRPr="00AD597A">
        <w:rPr>
          <w:sz w:val="24"/>
          <w:szCs w:val="24"/>
        </w:rPr>
        <w:t xml:space="preserve">Broader examinations of loneliness in Ireland highlight the </w:t>
      </w:r>
      <w:r w:rsidR="00D32888">
        <w:rPr>
          <w:sz w:val="24"/>
          <w:szCs w:val="24"/>
        </w:rPr>
        <w:t xml:space="preserve">weakening of community ties, changing </w:t>
      </w:r>
      <w:r w:rsidRPr="00AD597A">
        <w:rPr>
          <w:sz w:val="24"/>
          <w:szCs w:val="24"/>
        </w:rPr>
        <w:t xml:space="preserve">lifestyles, and demographics </w:t>
      </w:r>
      <w:r w:rsidRPr="00AD597A">
        <w:rPr>
          <w:sz w:val="24"/>
          <w:szCs w:val="24"/>
        </w:rPr>
        <w:fldChar w:fldCharType="begin" w:fldLock="1"/>
      </w:r>
      <w:r w:rsidR="004648C4">
        <w:rPr>
          <w:sz w:val="24"/>
          <w:szCs w:val="24"/>
        </w:rPr>
        <w:instrText>ADDIN CSL_CITATION {"citationItems":[{"id":"ITEM-1","itemData":{"DOI":"10.1007/s00127-019-01679-w","ISBN":"0123456789","ISSN":"14339285","PMID":"30863870","abstract":"Purpose: Loneliness may have different cultural meanings in different countries. This may manifest as differing levels of Social Asymmetry—the discrepancy between loneliness and social isolation. Since loneliness is thought to be low in Sweden relative to more southerly countries, we hypothesised that more number of individuals would also fall into the “discordant robust” category of Social Asymmetry, i.e. that more individuals in Sweden would have lower loneliness levels relative to social isolation than in Ireland. We also explored the clinical relevance of Social Asymmetry in both countries, by examining its association with cognitive functioning. Methods: We derived Social Asymmetry metrics in two representative cohort studies: the Irish Longitudinal Study on Ageing (TILDA) and the Swedish National Study on Aging and Care in Kungsholmen (SNAC-K). Data pertaining to a dementia-free sample of 4565 Irish participants and 3042 Swedish participants, all aged over 60 years, were analysed using a multilevel modelling approach, with country as a higher-order variable. Results: Contrary to the expected, more individuals in Ireland were “discordant robust” than in Sweden. We also found evidence for superior performance in global cognitive functioning among those in the “discordant robust” category relative to those in the discordant susceptible (i.e. those with higher levels of loneliness than social isolation) category, β = 0.61, p &lt;.001, across both countries. Conclusions: Irish older adults may be more robust to the impact of social isolation on loneliness than those in the Swedish cohort. Social Asymmetry was related to cognitive functioning in both countries, suggesting that Social Asymmetry is a clinically relevant construct.","author":[{"dropping-particle":"","family":"Mc Hugh Power","given":"Joanna E.","non-dropping-particle":"","parse-names":false,"suffix":""},{"dropping-particle":"","family":"Sjöberg","given":"Linnea","non-dropping-particle":"","parse-names":false,"suffix":""},{"dropping-particle":"","family":"Kee","given":"Frank","non-dropping-particle":"","parse-names":false,"suffix":""},{"dropping-particle":"","family":"Kenny","given":"Rose Ann","non-dropping-particle":"","parse-names":false,"suffix":""},{"dropping-particle":"","family":"Lawlor","given":"Brian","non-dropping-particle":"","parse-names":false,"suffix":""}],"container-title":"Social Psychiatry and Psychiatric Epidemiology","id":"ITEM-1","issue":"9","issued":{"date-parts":[["2019"]]},"page":"1079-1088","title":"Comparisons of the discrepancy between loneliness and social isolation across Ireland and Sweden: findings from TILDA and SNAC-K","type":"article-journal","volume":"54"},"uris":["http://www.mendeley.com/documents/?uuid=9912929c-8b3b-4a4d-817a-87d06e773503"]}],"mendeley":{"formattedCitation":"(Mc Hugh Power et al., 2019)","plainTextFormattedCitation":"(Mc Hugh Power et al., 2019)","previouslyFormattedCitation":"(Mc Hugh Power et al., 2019)"},"properties":{"noteIndex":0},"schema":"https://github.com/citation-style-language/schema/raw/master/csl-citation.json"}</w:instrText>
      </w:r>
      <w:r w:rsidRPr="00AD597A">
        <w:rPr>
          <w:sz w:val="24"/>
          <w:szCs w:val="24"/>
        </w:rPr>
        <w:fldChar w:fldCharType="separate"/>
      </w:r>
      <w:r w:rsidRPr="00A066FF">
        <w:rPr>
          <w:noProof/>
          <w:sz w:val="24"/>
          <w:szCs w:val="24"/>
        </w:rPr>
        <w:t>(Mc Hugh Power et al., 2019)</w:t>
      </w:r>
      <w:r w:rsidRPr="00AD597A">
        <w:rPr>
          <w:sz w:val="24"/>
          <w:szCs w:val="24"/>
        </w:rPr>
        <w:fldChar w:fldCharType="end"/>
      </w:r>
      <w:r w:rsidRPr="00AD597A">
        <w:rPr>
          <w:sz w:val="24"/>
          <w:szCs w:val="24"/>
        </w:rPr>
        <w:t xml:space="preserve">. Traditional social circles, once largely defined by family, neighbours, and local communities, now require more deliberate effort to cultivate due to changing lifestyles. This observation is echoed by the </w:t>
      </w:r>
      <w:r w:rsidRPr="00AD597A">
        <w:rPr>
          <w:sz w:val="24"/>
          <w:szCs w:val="24"/>
        </w:rPr>
        <w:fldChar w:fldCharType="begin" w:fldLock="1"/>
      </w:r>
      <w:r w:rsidR="00BD6988">
        <w:rPr>
          <w:sz w:val="24"/>
          <w:szCs w:val="24"/>
        </w:rPr>
        <w:instrText>ADDIN CSL_CITATION {"citationItems":[{"id":"ITEM-1","itemData":{"abstract":"The Loneliness Taskforce was established by Dr. Keith Swanick in collaboration with Seán Moynihan of ALONE to coordinate a response to the growing issue of loneliness in Ireland. The Loneliness Taskforce aims to increase awareness of the problem and to produce a set of recommendations for Government, state agencies and all policy makers. From March 26th to April 9th 2018, the Loneliness Taskforce sought submissions from the general public, Oireachtas and Northern Ireland Assembly Members, Local Authorities, MEPs, Charities, Public Participation Networks and Volunteer Networks across the Country, both North and South. In total, 310 submissions were received. The Loneliness Taskforce includes members from the education, NGO, sporting, nursing, psychology, business and academic sectors. They have drawn on their broad range of experience, consultation with other experts and interaction with the general public through the submissions process to shape this report.","author":[{"dropping-particle":"","family":"Loneliness Taskforce","given":"","non-dropping-particle":"","parse-names":false,"suffix":""}],"id":"ITEM-1","issued":{"date-parts":[["2018"]]},"title":"A Connected Island A Report from the Loneliness Taskforce","type":"book"},"uris":["http://www.mendeley.com/documents/?uuid=716d5289-6432-47c0-87d2-f46599a834e2"]}],"mendeley":{"formattedCitation":"(Loneliness Taskforce, 2018)","manualFormatting":"Loneliness Taskforce (2018)","plainTextFormattedCitation":"(Loneliness Taskforce, 2018)","previouslyFormattedCitation":"(Loneliness Taskforce, 2018)"},"properties":{"noteIndex":0},"schema":"https://github.com/citation-style-language/schema/raw/master/csl-citation.json"}</w:instrText>
      </w:r>
      <w:r w:rsidRPr="00AD597A">
        <w:rPr>
          <w:sz w:val="24"/>
          <w:szCs w:val="24"/>
        </w:rPr>
        <w:fldChar w:fldCharType="separate"/>
      </w:r>
      <w:r w:rsidRPr="00AD597A">
        <w:rPr>
          <w:noProof/>
          <w:sz w:val="24"/>
          <w:szCs w:val="24"/>
        </w:rPr>
        <w:t>Loneliness Taskforce (2018)</w:t>
      </w:r>
      <w:r w:rsidRPr="00AD597A">
        <w:rPr>
          <w:sz w:val="24"/>
          <w:szCs w:val="24"/>
        </w:rPr>
        <w:fldChar w:fldCharType="end"/>
      </w:r>
      <w:r w:rsidRPr="00AD597A">
        <w:rPr>
          <w:sz w:val="24"/>
          <w:szCs w:val="24"/>
        </w:rPr>
        <w:t xml:space="preserve"> which notes that Ireland's aging, increasingly urban, and individuali</w:t>
      </w:r>
      <w:r w:rsidR="004916BF" w:rsidRPr="00AD597A">
        <w:rPr>
          <w:sz w:val="24"/>
          <w:szCs w:val="24"/>
        </w:rPr>
        <w:t>s</w:t>
      </w:r>
      <w:r w:rsidRPr="00AD597A">
        <w:rPr>
          <w:sz w:val="24"/>
          <w:szCs w:val="24"/>
        </w:rPr>
        <w:t>ed population experiences diminishing connections with their communities.</w:t>
      </w:r>
    </w:p>
    <w:p w14:paraId="7FA2BB60" w14:textId="67C7F2A5" w:rsidR="00427E98" w:rsidRPr="00AD597A" w:rsidRDefault="00427E98" w:rsidP="00427E98">
      <w:pPr>
        <w:spacing w:line="360" w:lineRule="auto"/>
        <w:rPr>
          <w:sz w:val="24"/>
          <w:szCs w:val="24"/>
        </w:rPr>
      </w:pPr>
      <w:r w:rsidRPr="00AD597A">
        <w:rPr>
          <w:sz w:val="24"/>
          <w:szCs w:val="24"/>
        </w:rPr>
        <w:t xml:space="preserve">The negative association between loneliness and quality of life is </w:t>
      </w:r>
      <w:r w:rsidR="006B50A8">
        <w:rPr>
          <w:sz w:val="24"/>
          <w:szCs w:val="24"/>
        </w:rPr>
        <w:t xml:space="preserve">also </w:t>
      </w:r>
      <w:r w:rsidRPr="00AD597A">
        <w:rPr>
          <w:sz w:val="24"/>
          <w:szCs w:val="24"/>
        </w:rPr>
        <w:t>consistent with existing literature</w:t>
      </w:r>
      <w:r w:rsidR="004B22A5" w:rsidRPr="00AD597A">
        <w:rPr>
          <w:sz w:val="24"/>
          <w:szCs w:val="24"/>
        </w:rPr>
        <w:t xml:space="preserve"> </w:t>
      </w:r>
      <w:r w:rsidR="00FB0D96" w:rsidRPr="00AD597A">
        <w:rPr>
          <w:sz w:val="24"/>
          <w:szCs w:val="24"/>
        </w:rPr>
        <w:fldChar w:fldCharType="begin" w:fldLock="1"/>
      </w:r>
      <w:r w:rsidR="004648C4">
        <w:rPr>
          <w:sz w:val="24"/>
          <w:szCs w:val="24"/>
        </w:rPr>
        <w:instrText>ADDIN CSL_CITATION {"citationItems":[{"id":"ITEM-1","itemData":{"DOI":"10.1186/s12889-024-19463-0","ISSN":"14712458","PMID":"39054451","abstract":"Background: In the older population, depression, loneliness, and quality of life are closely related, significantly influencing health status. This paper aimed (1) to investigate autoregressive and cross-lagged associations over 2 years between depression, loneliness, and quality of life, and (2) to examine sex-related differences in the 2-year associations between depression, loneliness, and quality of life in a large sample of European citizens aged ≥ 50 years. Methods: This is a longitudinal analysis. We included 7.456 individuals (70.89 ± 7.64 years; (4.268 females) who responded to waves 7 (2017) and 8 (2019) of the SHARE project. The variables analyzed in both waves were depression, loneliness, and quality of life. Results: Comparatively, females indicated higher depression and loneliness scores than males and a lower perception of quality of life. Autoregressive associations pointed that past depression, loneliness, and quality of life predicted their future episodes 2 years later (p &lt; 0.001). The cross-lagged analysis of males showed positive and significant bidirectional associations between depression and loneliness 2 years later. Females also showed a positive and significant association between depression and loneliness, but loneliness was not associated with depression 2 years later. In turn, previous high levels of quality of life had a protective role in late depression and loneliness up to 2 years. Conclusions: This study highlighted the need to simultaneously assess and manage depression, loneliness, and quality of life in the older European population. It is suggested that sex-specific policies can be created, including social support, in order to reduce depression and loneliness, and promote quality of life.","author":[{"dropping-particle":"","family":"Maio Nascimento","given":"Marcelo","non-dropping-particle":"de","parse-names":false,"suffix":""},{"dropping-particle":"","family":"Lampraki","given":"Charikleia","non-dropping-particle":"","parse-names":false,"suffix":""},{"dropping-particle":"","family":"Marques","given":"Adilson","non-dropping-particle":"","parse-names":false,"suffix":""},{"dropping-particle":"","family":"Gouveia","given":"Élvio R.","non-dropping-particle":"","parse-names":false,"suffix":""},{"dropping-particle":"","family":"Adsuar","given":"Jose C.","non-dropping-particle":"","parse-names":false,"suffix":""},{"dropping-particle":"","family":"Ihle","given":"Andreas","non-dropping-particle":"","parse-names":false,"suffix":""}],"container-title":"BMC Public Health","id":"ITEM-1","issue":"1","issued":{"date-parts":[["2024"]]},"publisher":"BioMed Central","title":"Longitudinal cross-lagged analysis of depression, loneliness, and quality of life in 12 European countries","type":"article-journal","volume":"24"},"uris":["http://www.mendeley.com/documents/?uuid=69e5ab4b-4113-4e47-be0e-c516f1c3c229"]},{"id":"ITEM-2","itemData":{"author":[{"dropping-particle":"","family":"Jakobsson","given":"U.","non-dropping-particle":"","parse-names":false,"suffix":""},{"dropping-particle":"","family":"Hallberg","given":"I.R","non-dropping-particle":"","parse-names":false,"suffix":""}],"container-title":"Aging clinical and experimental research","id":"ITEM-2","issued":{"date-parts":[["2005"]]},"page":"494-501","title":"Loneliness, fear, and quality of life among elderly in Sweden: a gender perspective","type":"article-journal","volume":"14"},"uris":["http://www.mendeley.com/documents/?uuid=c6435e62-75ac-4aa3-ad30-82d459a13377"]},{"id":"ITEM-3","itemData":{"DOI":"10.3389/fpsyg.2017.02003","ISSN":"16641078","abstract":"Objectives: In the scientific literature on aging, a recent core issue has been the role of individuals' internal and external resources, which are considered intrinsically connected, in contributing synergistically to physical and psychological quality of life (QoL). The current study investigates the way in which psychological factors-such as, loneliness, resilience, and mental states, in terms of depression and anxiety symptoms-affect the perceived QoL among elderly individuals. Method: Data from 290 elderly Italian participants were used to study the mediation effects of both mental health and resilience to elucidate the relationship between loneliness and psychophysical QoL. Results: The best model we obtained supports the mediation effect of both resilience and mental health between loneliness and mental and physical QoL. These results highlight that loneliness influences mental and physical QoL via two pathways, with the impact of loneliness mediated by mental health and resilience dimensions. Conclusions: The findings suggest the importance of the support that elderly people receive from social relationships. In terms of clinical interventions, the reduction of loneliness could be an important factor in primary prevention or the recovery process. A way to reduce levels of mental distress could be represented by the increasing of resilience and self-efficacy and reduction of loneliness dissatisfaction. A high degree of resiliency contributes to increasing perceived life quality at the physical and psychological levels, and at the same time, reducing anxiety and depressive symptoms.","author":[{"dropping-particle":"","family":"Gerino","given":"Eva","non-dropping-particle":"","parse-names":false,"suffix":""},{"dropping-particle":"","family":"Rollè","given":"Luca","non-dropping-particle":"","parse-names":false,"suffix":""},{"dropping-particle":"","family":"Sechi","given":"Cristina","non-dropping-particle":"","parse-names":false,"suffix":""},{"dropping-particle":"","family":"Brustia","given":"Piera","non-dropping-particle":"","parse-names":false,"suffix":""}],"container-title":"Frontiers in Psychology","id":"ITEM-3","issue":"NOV","issued":{"date-parts":[["2017"]]},"page":"1-12","title":"Loneliness, resilience, mental health, and quality of life in old age: A structural equation model","type":"article-journal","volume":"8"},"uris":["http://www.mendeley.com/documents/?uuid=7a82244e-5ae9-4319-b2f6-ec482d823416"]}],"mendeley":{"formattedCitation":"(de Maio Nascimento et al., 2024; Gerino et al., 2017; Jakobsson and Hallberg, 2005)","plainTextFormattedCitation":"(de Maio Nascimento et al., 2024; Gerino et al., 2017; Jakobsson and Hallberg, 2005)","previouslyFormattedCitation":"(de Maio Nascimento et al., 2024; Gerino et al., 2017; Jakobsson and Hallberg, 2005)"},"properties":{"noteIndex":0},"schema":"https://github.com/citation-style-language/schema/raw/master/csl-citation.json"}</w:instrText>
      </w:r>
      <w:r w:rsidR="00FB0D96" w:rsidRPr="00AD597A">
        <w:rPr>
          <w:sz w:val="24"/>
          <w:szCs w:val="24"/>
        </w:rPr>
        <w:fldChar w:fldCharType="separate"/>
      </w:r>
      <w:r w:rsidR="00A066FF" w:rsidRPr="00A066FF">
        <w:rPr>
          <w:noProof/>
          <w:sz w:val="24"/>
          <w:szCs w:val="24"/>
        </w:rPr>
        <w:t>(de Maio Nascimento et al., 2024; Gerino et al., 2017; Jakobsson and Hallberg, 2005)</w:t>
      </w:r>
      <w:r w:rsidR="00FB0D96" w:rsidRPr="00AD597A">
        <w:rPr>
          <w:sz w:val="24"/>
          <w:szCs w:val="24"/>
        </w:rPr>
        <w:fldChar w:fldCharType="end"/>
      </w:r>
      <w:r w:rsidRPr="00AD597A">
        <w:rPr>
          <w:sz w:val="24"/>
          <w:szCs w:val="24"/>
        </w:rPr>
        <w:t>. Loneliness can erode an individual's sense of purpose, self-esteem, and overall wellbeing, impacting their perception of quality of life. The fact that frequent loneliness has a stronger negative association than occasional loneliness emphasi</w:t>
      </w:r>
      <w:r w:rsidR="00C30F0F">
        <w:rPr>
          <w:sz w:val="24"/>
          <w:szCs w:val="24"/>
        </w:rPr>
        <w:t>s</w:t>
      </w:r>
      <w:r w:rsidRPr="00AD597A">
        <w:rPr>
          <w:sz w:val="24"/>
          <w:szCs w:val="24"/>
        </w:rPr>
        <w:t>es the cumulative and detrimental effects of</w:t>
      </w:r>
      <w:r w:rsidR="003959C4">
        <w:rPr>
          <w:sz w:val="24"/>
          <w:szCs w:val="24"/>
        </w:rPr>
        <w:t xml:space="preserve"> perceptions of more </w:t>
      </w:r>
      <w:r w:rsidR="00BF2F82" w:rsidRPr="00AD597A">
        <w:rPr>
          <w:sz w:val="24"/>
          <w:szCs w:val="24"/>
        </w:rPr>
        <w:t>severe</w:t>
      </w:r>
      <w:r w:rsidRPr="00AD597A">
        <w:rPr>
          <w:sz w:val="24"/>
          <w:szCs w:val="24"/>
        </w:rPr>
        <w:t xml:space="preserve"> social isolation. The demographic profile of the sample, including the proportion born outside Ireland (</w:t>
      </w:r>
      <w:r w:rsidR="000C415C">
        <w:rPr>
          <w:sz w:val="24"/>
          <w:szCs w:val="24"/>
        </w:rPr>
        <w:t>18.6</w:t>
      </w:r>
      <w:r w:rsidRPr="00AD597A">
        <w:rPr>
          <w:sz w:val="24"/>
          <w:szCs w:val="24"/>
        </w:rPr>
        <w:t>%) and those reporting a disability (2</w:t>
      </w:r>
      <w:r w:rsidR="000C415C">
        <w:rPr>
          <w:sz w:val="24"/>
          <w:szCs w:val="24"/>
        </w:rPr>
        <w:t>1.2</w:t>
      </w:r>
      <w:r w:rsidRPr="00AD597A">
        <w:rPr>
          <w:sz w:val="24"/>
          <w:szCs w:val="24"/>
        </w:rPr>
        <w:t>%), suggests the need for further research exploring the specific experiences of these groups. These populations may face unique challenges related to integration, accessibility, and social inclusion, which could influence their experiences of loneliness and mental health</w:t>
      </w:r>
      <w:r w:rsidR="00DC3AB3" w:rsidRPr="00AD597A">
        <w:rPr>
          <w:sz w:val="24"/>
          <w:szCs w:val="24"/>
        </w:rPr>
        <w:t xml:space="preserve"> </w:t>
      </w:r>
      <w:r w:rsidR="00DC3AB3" w:rsidRPr="00AD597A">
        <w:rPr>
          <w:sz w:val="24"/>
          <w:szCs w:val="24"/>
        </w:rPr>
        <w:fldChar w:fldCharType="begin" w:fldLock="1"/>
      </w:r>
      <w:r w:rsidR="004648C4">
        <w:rPr>
          <w:sz w:val="24"/>
          <w:szCs w:val="24"/>
        </w:rPr>
        <w:instrText>ADDIN CSL_CITATION {"citationItems":[{"id":"ITEM-1","itemData":{"DOI":"https://doi.org/10.1016/j.ajp.2025.104381","author":[{"dropping-particle":"","family":"Salari","given":"N.","non-dropping-particle":"","parse-names":false,"suffix":""},{"dropping-particle":"","family":"Razavizadeh, S., Abdolmaleki","given":"A.","non-dropping-particle":"","parse-names":false,"suffix":""},{"dropping-particle":"","family":"Zarei","given":"H.","non-dropping-particle":"","parse-names":false,"suffix":""},{"dropping-particle":"","family":"Daneshkhah, A. Mohammadi","given":"M.","non-dropping-particle":"","parse-names":false,"suffix":""}],"container-title":"Asian Journal of Psychiatry","id":"ITEM-1","issued":{"date-parts":[["2025"]]},"title":"Global prevalence of loneliness in immigrants: A systematic review and meta-analysis","type":"article-journal"},"uris":["http://www.mendeley.com/documents/?uuid=442b5be3-2626-4b5e-aaaf-52206bf55e68"]},{"id":"ITEM-2","itemData":{"DOI":"10.3389/fpsyg.2022.1040651","ISSN":"16641078","abstract":"Introduction: People with disabilities experience loneliness to a greater extent than people without disabilities. To better understand this problem, we have conducted a systematic review of studies that involved disability and loneliness. The aims are to research what loneliness is and to conceptualize and define it in the context of disability, and the intervention strategies that have been developed. Methods: The research protocol is based on the PRISMA guidelines. Two hundred and eighty-one papers were screened and 75 reports were assessed for eligibility. Results: We have not found whether loneliness in disability is a single construct or a collection of various subtypes. We have found that there are protective factors against loneliness in disabled people, such as having a job or living in an environment without physical barriers. Discussion: In terms of the interventions for people with disabilities, the same strategies have been adopted as for the non-disabled: social skills training, enhanced social support, opportunities for interactions, and cognitive training.","author":[{"dropping-particle":"","family":"Gómez-Zúñiga","given":"Beni","non-dropping-particle":"","parse-names":false,"suffix":""},{"dropping-particle":"","family":"Pousada","given":"Modesta","non-dropping-particle":"","parse-names":false,"suffix":""},{"dropping-particle":"","family":"Armayones","given":"Manuel","non-dropping-particle":"","parse-names":false,"suffix":""}],"container-title":"Frontiers in Psychology","id":"ITEM-2","issue":"January","issued":{"date-parts":[["2023"]]},"page":"1-12","title":"Loneliness and disability: A systematic review of loneliness conceptualization and intervention strategies","type":"article-journal","volume":"13"},"uris":["http://www.mendeley.com/documents/?uuid=b992a1b7-2ce9-4808-bbf3-1188f41527e7"]}],"mendeley":{"formattedCitation":"(Gómez-Zúñiga et al., 2023; Salari et al., 2025)","plainTextFormattedCitation":"(Gómez-Zúñiga et al., 2023; Salari et al., 2025)","previouslyFormattedCitation":"(Gómez-Zúñiga et al., 2023; Salari et al., 2025)"},"properties":{"noteIndex":0},"schema":"https://github.com/citation-style-language/schema/raw/master/csl-citation.json"}</w:instrText>
      </w:r>
      <w:r w:rsidR="00DC3AB3" w:rsidRPr="00AD597A">
        <w:rPr>
          <w:sz w:val="24"/>
          <w:szCs w:val="24"/>
        </w:rPr>
        <w:fldChar w:fldCharType="separate"/>
      </w:r>
      <w:r w:rsidR="000443B6" w:rsidRPr="00A066FF">
        <w:rPr>
          <w:noProof/>
          <w:sz w:val="24"/>
          <w:szCs w:val="24"/>
        </w:rPr>
        <w:t>(Gómez-Zúñiga et al., 2023; Salari et al., 2025)</w:t>
      </w:r>
      <w:r w:rsidR="00DC3AB3" w:rsidRPr="00AD597A">
        <w:rPr>
          <w:sz w:val="24"/>
          <w:szCs w:val="24"/>
        </w:rPr>
        <w:fldChar w:fldCharType="end"/>
      </w:r>
      <w:r w:rsidRPr="00AD597A">
        <w:rPr>
          <w:sz w:val="24"/>
          <w:szCs w:val="24"/>
        </w:rPr>
        <w:t xml:space="preserve">. </w:t>
      </w:r>
    </w:p>
    <w:p w14:paraId="65ABF12E" w14:textId="4ADF9F82" w:rsidR="00427E98" w:rsidRPr="00410C75" w:rsidRDefault="002700E2" w:rsidP="00410C75">
      <w:pPr>
        <w:pStyle w:val="ListParagraph"/>
        <w:numPr>
          <w:ilvl w:val="1"/>
          <w:numId w:val="17"/>
        </w:numPr>
        <w:spacing w:line="360" w:lineRule="auto"/>
        <w:rPr>
          <w:i/>
          <w:iCs/>
          <w:sz w:val="24"/>
          <w:szCs w:val="24"/>
        </w:rPr>
      </w:pPr>
      <w:r w:rsidRPr="00410C75">
        <w:rPr>
          <w:i/>
          <w:iCs/>
          <w:sz w:val="24"/>
          <w:szCs w:val="24"/>
        </w:rPr>
        <w:t>Policy implications</w:t>
      </w:r>
    </w:p>
    <w:p w14:paraId="21DC066A" w14:textId="4B9B6E84" w:rsidR="00265296" w:rsidRPr="00AD597A" w:rsidRDefault="00235F7E" w:rsidP="00685102">
      <w:pPr>
        <w:spacing w:line="360" w:lineRule="auto"/>
        <w:rPr>
          <w:sz w:val="24"/>
          <w:szCs w:val="24"/>
        </w:rPr>
      </w:pPr>
      <w:r w:rsidRPr="00AD597A">
        <w:rPr>
          <w:sz w:val="24"/>
          <w:szCs w:val="24"/>
        </w:rPr>
        <w:t xml:space="preserve">The findings of this study have several important policy implications for Ireland relevant across government </w:t>
      </w:r>
      <w:r w:rsidR="00265296" w:rsidRPr="00AD597A">
        <w:rPr>
          <w:sz w:val="24"/>
          <w:szCs w:val="24"/>
        </w:rPr>
        <w:t>policymakers, public health practitioners and General Practitioners</w:t>
      </w:r>
      <w:r w:rsidR="00896971">
        <w:rPr>
          <w:sz w:val="24"/>
          <w:szCs w:val="24"/>
        </w:rPr>
        <w:t xml:space="preserve"> (GPs)</w:t>
      </w:r>
      <w:r w:rsidR="00265296" w:rsidRPr="00AD597A">
        <w:rPr>
          <w:sz w:val="24"/>
          <w:szCs w:val="24"/>
        </w:rPr>
        <w:t xml:space="preserve">, as well as wider society with a stake in these areas e.g., community groups. </w:t>
      </w:r>
    </w:p>
    <w:p w14:paraId="48D32BC3" w14:textId="4DE4DFF4" w:rsidR="0014657F" w:rsidRPr="00AD597A" w:rsidRDefault="00535993" w:rsidP="00685102">
      <w:pPr>
        <w:spacing w:line="360" w:lineRule="auto"/>
        <w:rPr>
          <w:sz w:val="24"/>
          <w:szCs w:val="24"/>
        </w:rPr>
      </w:pPr>
      <w:r w:rsidRPr="00AD597A">
        <w:rPr>
          <w:sz w:val="24"/>
          <w:szCs w:val="24"/>
        </w:rPr>
        <w:t xml:space="preserve">The established link between loneliness and mental health highlights the need for integrated mental health strategies that prioritize social connectedness </w:t>
      </w:r>
      <w:r w:rsidRPr="00AD597A">
        <w:rPr>
          <w:sz w:val="24"/>
          <w:szCs w:val="24"/>
        </w:rPr>
        <w:fldChar w:fldCharType="begin" w:fldLock="1"/>
      </w:r>
      <w:r w:rsidR="009F4B83">
        <w:rPr>
          <w:sz w:val="24"/>
          <w:szCs w:val="24"/>
        </w:rPr>
        <w:instrText>ADDIN CSL_CITATION {"citationItems":[{"id":"ITEM-1","itemData":{"author":[{"dropping-particle":"","family":"McHugh Power","given":"Joanna","non-dropping-particle":"","parse-names":false,"suffix":""},{"dropping-particle":"","family":"Swader","given":"C","non-dropping-particle":"","parse-names":false,"suffix":""}],"id":"ITEM-1","issued":{"date-parts":[["2025"]]},"number-of-pages":"1-10","publisher":"PublicPolicy.ie","title":"The Loneliest Nation in Europe? Ireland as a Case Study, and Implications for Policy","type":"book"},"uris":["http://www.mendeley.com/documents/?uuid=dc4f2091-f089-4a00-a415-c457c610fc23"]}],"mendeley":{"formattedCitation":"(McHugh Power and Swader, 2025)","plainTextFormattedCitation":"(McHugh Power and Swader, 2025)","previouslyFormattedCitation":"(McHugh Power and Swader, 2025)"},"properties":{"noteIndex":0},"schema":"https://github.com/citation-style-language/schema/raw/master/csl-citation.json"}</w:instrText>
      </w:r>
      <w:r w:rsidRPr="00AD597A">
        <w:rPr>
          <w:sz w:val="24"/>
          <w:szCs w:val="24"/>
        </w:rPr>
        <w:fldChar w:fldCharType="separate"/>
      </w:r>
      <w:r w:rsidR="008C3EDF" w:rsidRPr="008C3EDF">
        <w:rPr>
          <w:noProof/>
          <w:sz w:val="24"/>
          <w:szCs w:val="24"/>
        </w:rPr>
        <w:t>(McHugh Power and Swader, 2025)</w:t>
      </w:r>
      <w:r w:rsidRPr="00AD597A">
        <w:rPr>
          <w:sz w:val="24"/>
          <w:szCs w:val="24"/>
        </w:rPr>
        <w:fldChar w:fldCharType="end"/>
      </w:r>
      <w:r w:rsidRPr="00AD597A">
        <w:rPr>
          <w:sz w:val="24"/>
          <w:szCs w:val="24"/>
        </w:rPr>
        <w:t>. Social prescribing, connecting individuals with non-clinical community supports like social groups and services, has emerged as a key treatment strategy for loneliness. It features prominently in the Irish Health Services Executive</w:t>
      </w:r>
      <w:r w:rsidR="00896971">
        <w:rPr>
          <w:sz w:val="24"/>
          <w:szCs w:val="24"/>
        </w:rPr>
        <w:t>’s</w:t>
      </w:r>
      <w:r w:rsidRPr="00AD597A">
        <w:rPr>
          <w:sz w:val="24"/>
          <w:szCs w:val="24"/>
        </w:rPr>
        <w:t xml:space="preserve"> </w:t>
      </w:r>
      <w:r w:rsidRPr="00896971">
        <w:rPr>
          <w:i/>
          <w:iCs/>
          <w:sz w:val="24"/>
          <w:szCs w:val="24"/>
        </w:rPr>
        <w:t>Mental Health Promotion Plan 2022-27</w:t>
      </w:r>
      <w:r w:rsidRPr="00AD597A">
        <w:rPr>
          <w:sz w:val="24"/>
          <w:szCs w:val="24"/>
        </w:rPr>
        <w:t xml:space="preserve"> </w:t>
      </w:r>
      <w:r w:rsidRPr="00AD597A">
        <w:rPr>
          <w:sz w:val="24"/>
          <w:szCs w:val="24"/>
        </w:rPr>
        <w:fldChar w:fldCharType="begin" w:fldLock="1"/>
      </w:r>
      <w:r w:rsidR="004648C4">
        <w:rPr>
          <w:sz w:val="24"/>
          <w:szCs w:val="24"/>
        </w:rPr>
        <w:instrText>ADDIN CSL_CITATION {"citationItems":[{"id":"ITEM-1","itemData":{"author":[{"dropping-particle":"","family":"Doherty","given":"Aisling","non-dropping-particle":"","parse-names":false,"suffix":""},{"dropping-particle":"","family":"Sheridan","given":"Anne","non-dropping-particle":"","parse-names":false,"suffix":""},{"dropping-particle":"","family":"Chambers","given":"Derek","non-dropping-particle":"","parse-names":false,"suffix":""}],"container-title":"Mental Health Promotion Manager","id":"ITEM-1","issued":{"date-parts":[["2022"]]},"publisher":"Health Service Executive","title":"Stronger Together: The HSE Mental Health Promotion Plan 2022-2027","type":"book"},"uris":["http://www.mendeley.com/documents/?uuid=77d77006-0434-48c8-a749-3a414888d4e1"]}],"mendeley":{"formattedCitation":"(Doherty et al., 2022)","plainTextFormattedCitation":"(Doherty et al., 2022)","previouslyFormattedCitation":"(Doherty et al., 2022)"},"properties":{"noteIndex":0},"schema":"https://github.com/citation-style-language/schema/raw/master/csl-citation.json"}</w:instrText>
      </w:r>
      <w:r w:rsidRPr="00AD597A">
        <w:rPr>
          <w:sz w:val="24"/>
          <w:szCs w:val="24"/>
        </w:rPr>
        <w:fldChar w:fldCharType="separate"/>
      </w:r>
      <w:r w:rsidR="000443B6" w:rsidRPr="00A066FF">
        <w:rPr>
          <w:noProof/>
          <w:sz w:val="24"/>
          <w:szCs w:val="24"/>
        </w:rPr>
        <w:t>(Doherty et al., 2022)</w:t>
      </w:r>
      <w:r w:rsidRPr="00AD597A">
        <w:rPr>
          <w:sz w:val="24"/>
          <w:szCs w:val="24"/>
        </w:rPr>
        <w:fldChar w:fldCharType="end"/>
      </w:r>
      <w:r w:rsidRPr="00AD597A">
        <w:rPr>
          <w:sz w:val="24"/>
          <w:szCs w:val="24"/>
        </w:rPr>
        <w:t xml:space="preserve"> and has also been a component of the UK's loneliness strategy </w:t>
      </w:r>
      <w:r w:rsidRPr="00AD597A">
        <w:rPr>
          <w:sz w:val="24"/>
          <w:szCs w:val="24"/>
        </w:rPr>
        <w:fldChar w:fldCharType="begin" w:fldLock="1"/>
      </w:r>
      <w:r w:rsidRPr="00AD597A">
        <w:rPr>
          <w:sz w:val="24"/>
          <w:szCs w:val="24"/>
        </w:rPr>
        <w:instrText>ADDIN CSL_CITATION {"citationItems":[{"id":"ITEM-1","itemData":{"DOI":"10.1016/S2352-4642(20)30213-3","ISSN":"23524642","author":[{"dropping-particle":"","family":"Siva","given":"Nayanah","non-dropping-particle":"","parse-names":false,"suffix":""}],"container-title":"The Lancet Child and Adolescent Health","id":"ITEM-1","issue":"8","issued":{"date-parts":[["2020"]]},"page":"567-568","publisher":"Elsevier Ltd","title":"Loneliness in children and young people in the UK","type":"article-journal","volume":"4"},"uris":["http://www.mendeley.com/documents/?uuid=923b86ac-8c21-4756-a088-13e1e1905213"]}],"mendeley":{"formattedCitation":"(Siva, 2020)","plainTextFormattedCitation":"(Siva, 2020)","previouslyFormattedCitation":"(Siva, 2020)"},"properties":{"noteIndex":0},"schema":"https://github.com/citation-style-language/schema/raw/master/csl-citation.json"}</w:instrText>
      </w:r>
      <w:r w:rsidRPr="00AD597A">
        <w:rPr>
          <w:sz w:val="24"/>
          <w:szCs w:val="24"/>
        </w:rPr>
        <w:fldChar w:fldCharType="separate"/>
      </w:r>
      <w:r w:rsidRPr="00AD597A">
        <w:rPr>
          <w:noProof/>
          <w:sz w:val="24"/>
          <w:szCs w:val="24"/>
        </w:rPr>
        <w:t>(Siva, 2020)</w:t>
      </w:r>
      <w:r w:rsidRPr="00AD597A">
        <w:rPr>
          <w:sz w:val="24"/>
          <w:szCs w:val="24"/>
        </w:rPr>
        <w:fldChar w:fldCharType="end"/>
      </w:r>
      <w:r w:rsidRPr="00AD597A">
        <w:rPr>
          <w:sz w:val="24"/>
          <w:szCs w:val="24"/>
        </w:rPr>
        <w:t>. Typically delivered by GPs in primary care, social prescribing targets individuals needing health or mental health support, including those experiencing loneliness, social isolation, or other social needs.</w:t>
      </w:r>
      <w:r w:rsidR="00C345B4" w:rsidRPr="00AD597A">
        <w:rPr>
          <w:sz w:val="24"/>
          <w:szCs w:val="24"/>
        </w:rPr>
        <w:t xml:space="preserve"> </w:t>
      </w:r>
      <w:r w:rsidR="003226A8" w:rsidRPr="00AD597A">
        <w:rPr>
          <w:sz w:val="24"/>
          <w:szCs w:val="24"/>
        </w:rPr>
        <w:t>While social prescribing offers potential benefits, its reliance has limitations</w:t>
      </w:r>
      <w:r w:rsidR="00DE5A83" w:rsidRPr="00AD597A">
        <w:rPr>
          <w:sz w:val="24"/>
          <w:szCs w:val="24"/>
        </w:rPr>
        <w:t xml:space="preserve"> </w:t>
      </w:r>
      <w:r w:rsidR="00DE5A83" w:rsidRPr="00AD597A">
        <w:rPr>
          <w:sz w:val="24"/>
          <w:szCs w:val="24"/>
        </w:rPr>
        <w:fldChar w:fldCharType="begin" w:fldLock="1"/>
      </w:r>
      <w:r w:rsidR="004648C4">
        <w:rPr>
          <w:sz w:val="24"/>
          <w:szCs w:val="24"/>
        </w:rPr>
        <w:instrText>ADDIN CSL_CITATION {"citationItems":[{"id":"ITEM-1","itemData":{"author":[{"dropping-particle":"","family":"McHugh Power","given":"Joanna","non-dropping-particle":"","parse-names":false,"suffix":""},{"dropping-particle":"","family":"Swader","given":"C","non-dropping-particle":"","parse-names":false,"suffix":""}],"id":"ITEM-1","issued":{"date-parts":[["2025"]]},"number-of-pages":"1-10","publisher":"PublicPolicy.ie","title":"The Loneliest Nation in Europe? Ireland as a Case Study, and Implications for Policy","type":"book"},"uris":["http://www.mendeley.com/documents/?uuid=dc4f2091-f089-4a00-a415-c457c610fc23"]},{"id":"ITEM-2","itemData":{"DOI":"10.1080/19460171.2024.2306240","ISSN":"1946018X","abstract":"This article presents an analysis of discourses in recent UK policy on loneliness reduction. We use Carol Bacchi’s ‘what is the problem represented to be’ approach (WPR) to explore how the problem of loneliness produces specific solutions, subject positions, and forms of responsibility. Our findings suggest loneliness is understood as a public health threat that both emerges from and causes ill health. Using Foucault’s concept of governmentality, we argue that policy discourses construct loneliness as a problem requiring governance to minimize health ‘risks.’ Loneliness is problematized as creating strain on health and social care systems, as well as the economy by reducing productivity. The projected ‘costs’ of loneliness are managed via social prescribing. Social prescribing positions GPs and link workers as guides whose role is to transfer lonely subjects away from costly healthcare settings and toward the civil sector. The policies are produced in a context of continued budget cuts which we propose may threaten the effectiveness of projects like social prescribing. Social determinants of health, closely tied to loneliness, are largely left unaddressed in favor of solutions that individualize and responsibilize lonely citizens.","author":[{"dropping-particle":"","family":"Jentoft","given":"Elian Eve","non-dropping-particle":"","parse-names":false,"suffix":""},{"dropping-particle":"","family":"Sandset","given":"Tony","non-dropping-particle":"","parse-names":false,"suffix":""},{"dropping-particle":"","family":"Haldar","given":"Marit","non-dropping-particle":"","parse-names":false,"suffix":""}],"container-title":"Critical Policy Studies","id":"ITEM-2","issue":"00","issued":{"date-parts":[["2024"]]},"page":"1-18","publisher":"Routledge","title":"Problematizing loneliness as a public health issue: an analysis of policy in the United Kingdom","type":"article-journal","volume":"00"},"uris":["http://www.mendeley.com/documents/?uuid=18fd2507-48f3-4d9a-b9cb-ef90c454336b"]}],"mendeley":{"formattedCitation":"(Jentoft et al., 2024; McHugh Power and Swader, 2025)","plainTextFormattedCitation":"(Jentoft et al., 2024; McHugh Power and Swader, 2025)","previouslyFormattedCitation":"(Jentoft et al., 2024; McHugh Power and Swader, 2025)"},"properties":{"noteIndex":0},"schema":"https://github.com/citation-style-language/schema/raw/master/csl-citation.json"}</w:instrText>
      </w:r>
      <w:r w:rsidR="00DE5A83" w:rsidRPr="00AD597A">
        <w:rPr>
          <w:sz w:val="24"/>
          <w:szCs w:val="24"/>
        </w:rPr>
        <w:fldChar w:fldCharType="separate"/>
      </w:r>
      <w:r w:rsidR="000443B6" w:rsidRPr="00A066FF">
        <w:rPr>
          <w:noProof/>
          <w:sz w:val="24"/>
          <w:szCs w:val="24"/>
        </w:rPr>
        <w:t>(Jentoft et al., 2024; McHugh Power and Swader, 2025)</w:t>
      </w:r>
      <w:r w:rsidR="00DE5A83" w:rsidRPr="00AD597A">
        <w:rPr>
          <w:sz w:val="24"/>
          <w:szCs w:val="24"/>
        </w:rPr>
        <w:fldChar w:fldCharType="end"/>
      </w:r>
      <w:r w:rsidR="003226A8" w:rsidRPr="00AD597A">
        <w:rPr>
          <w:sz w:val="24"/>
          <w:szCs w:val="24"/>
        </w:rPr>
        <w:t xml:space="preserve">. </w:t>
      </w:r>
      <w:r w:rsidR="000B13E9">
        <w:rPr>
          <w:sz w:val="24"/>
          <w:szCs w:val="24"/>
        </w:rPr>
        <w:t>I</w:t>
      </w:r>
      <w:r w:rsidR="000B13E9" w:rsidRPr="00AD597A">
        <w:rPr>
          <w:sz w:val="24"/>
          <w:szCs w:val="24"/>
        </w:rPr>
        <w:t xml:space="preserve">n their analysis of the UK's policy response to loneliness, </w:t>
      </w:r>
      <w:r w:rsidR="002B2C33" w:rsidRPr="00AD597A">
        <w:rPr>
          <w:sz w:val="24"/>
          <w:szCs w:val="24"/>
        </w:rPr>
        <w:fldChar w:fldCharType="begin" w:fldLock="1"/>
      </w:r>
      <w:r w:rsidR="004648C4">
        <w:rPr>
          <w:sz w:val="24"/>
          <w:szCs w:val="24"/>
        </w:rPr>
        <w:instrText>ADDIN CSL_CITATION {"citationItems":[{"id":"ITEM-1","itemData":{"DOI":"10.1080/19460171.2024.2306240","ISSN":"1946018X","abstract":"This article presents an analysis of discourses in recent UK policy on loneliness reduction. We use Carol Bacchi’s ‘what is the problem represented to be’ approach (WPR) to explore how the problem of loneliness produces specific solutions, subject positions, and forms of responsibility. Our findings suggest loneliness is understood as a public health threat that both emerges from and causes ill health. Using Foucault’s concept of governmentality, we argue that policy discourses construct loneliness as a problem requiring governance to minimize health ‘risks.’ Loneliness is problematized as creating strain on health and social care systems, as well as the economy by reducing productivity. The projected ‘costs’ of loneliness are managed via social prescribing. Social prescribing positions GPs and link workers as guides whose role is to transfer lonely subjects away from costly healthcare settings and toward the civil sector. The policies are produced in a context of continued budget cuts which we propose may threaten the effectiveness of projects like social prescribing. Social determinants of health, closely tied to loneliness, are largely left unaddressed in favor of solutions that individualize and responsibilize lonely citizens.","author":[{"dropping-particle":"","family":"Jentoft","given":"Elian Eve","non-dropping-particle":"","parse-names":false,"suffix":""},{"dropping-particle":"","family":"Sandset","given":"Tony","non-dropping-particle":"","parse-names":false,"suffix":""},{"dropping-particle":"","family":"Haldar","given":"Marit","non-dropping-particle":"","parse-names":false,"suffix":""}],"container-title":"Critical Policy Studies","id":"ITEM-1","issue":"00","issued":{"date-parts":[["2024"]]},"page":"1-18","publisher":"Routledge","title":"Problematizing loneliness as a public health issue: an analysis of policy in the United Kingdom","type":"article-journal","volume":"00"},"uris":["http://www.mendeley.com/documents/?uuid=18fd2507-48f3-4d9a-b9cb-ef90c454336b"]}],"mendeley":{"formattedCitation":"(Jentoft et al., 2024)","manualFormatting":"Jentoft et al. (2024)","plainTextFormattedCitation":"(Jentoft et al., 2024)","previouslyFormattedCitation":"(Jentoft et al., 2024)"},"properties":{"noteIndex":0},"schema":"https://github.com/citation-style-language/schema/raw/master/csl-citation.json"}</w:instrText>
      </w:r>
      <w:r w:rsidR="002B2C33" w:rsidRPr="00AD597A">
        <w:rPr>
          <w:sz w:val="24"/>
          <w:szCs w:val="24"/>
        </w:rPr>
        <w:fldChar w:fldCharType="separate"/>
      </w:r>
      <w:r w:rsidR="002B2C33" w:rsidRPr="00AD597A">
        <w:rPr>
          <w:noProof/>
          <w:sz w:val="24"/>
          <w:szCs w:val="24"/>
        </w:rPr>
        <w:t xml:space="preserve">Jentoft </w:t>
      </w:r>
      <w:r w:rsidR="002B2C33" w:rsidRPr="00AD597A">
        <w:rPr>
          <w:i/>
          <w:noProof/>
          <w:sz w:val="24"/>
          <w:szCs w:val="24"/>
        </w:rPr>
        <w:t>et al.</w:t>
      </w:r>
      <w:r w:rsidR="002B2C33" w:rsidRPr="00AD597A">
        <w:rPr>
          <w:noProof/>
          <w:sz w:val="24"/>
          <w:szCs w:val="24"/>
        </w:rPr>
        <w:t xml:space="preserve"> </w:t>
      </w:r>
      <w:r w:rsidR="00DE5A83" w:rsidRPr="00AD597A">
        <w:rPr>
          <w:noProof/>
          <w:sz w:val="24"/>
          <w:szCs w:val="24"/>
        </w:rPr>
        <w:t>(</w:t>
      </w:r>
      <w:r w:rsidR="002B2C33" w:rsidRPr="00AD597A">
        <w:rPr>
          <w:noProof/>
          <w:sz w:val="24"/>
          <w:szCs w:val="24"/>
        </w:rPr>
        <w:t>2024)</w:t>
      </w:r>
      <w:r w:rsidR="002B2C33" w:rsidRPr="00AD597A">
        <w:rPr>
          <w:sz w:val="24"/>
          <w:szCs w:val="24"/>
        </w:rPr>
        <w:fldChar w:fldCharType="end"/>
      </w:r>
      <w:r w:rsidR="003226A8" w:rsidRPr="00AD597A">
        <w:rPr>
          <w:sz w:val="24"/>
          <w:szCs w:val="24"/>
        </w:rPr>
        <w:t>, argue that many direct interventions, often implemented through social prescribing, place the onus of addressing loneliness on individuals</w:t>
      </w:r>
      <w:r w:rsidR="007D197C" w:rsidRPr="00AD597A">
        <w:rPr>
          <w:sz w:val="24"/>
          <w:szCs w:val="24"/>
        </w:rPr>
        <w:t xml:space="preserve"> themselves</w:t>
      </w:r>
      <w:r w:rsidR="003226A8" w:rsidRPr="00AD597A">
        <w:rPr>
          <w:sz w:val="24"/>
          <w:szCs w:val="24"/>
        </w:rPr>
        <w:t xml:space="preserve">. This approach, though well-intentioned, risks framing loneliness as a personal failing rather than acknowledging its complex roots. Crucially, it often overlooks the social determinants of health that contribute significantly to loneliness, focusing instead on individual solutions. </w:t>
      </w:r>
    </w:p>
    <w:p w14:paraId="1CFA226C" w14:textId="574741CC" w:rsidR="005A5BE1" w:rsidRPr="00AD597A" w:rsidRDefault="002700E2" w:rsidP="00685102">
      <w:pPr>
        <w:spacing w:line="360" w:lineRule="auto"/>
        <w:rPr>
          <w:sz w:val="24"/>
          <w:szCs w:val="24"/>
        </w:rPr>
      </w:pPr>
      <w:r w:rsidRPr="00AD597A">
        <w:rPr>
          <w:sz w:val="24"/>
          <w:szCs w:val="24"/>
        </w:rPr>
        <w:t>Public health campaigns aimed at raising awareness of the detrimental effects of loneliness and promoting social inclusion could be beneficial</w:t>
      </w:r>
      <w:r w:rsidR="0014657F" w:rsidRPr="00AD597A">
        <w:rPr>
          <w:sz w:val="24"/>
          <w:szCs w:val="24"/>
        </w:rPr>
        <w:t xml:space="preserve"> </w:t>
      </w:r>
      <w:r w:rsidR="0014657F" w:rsidRPr="00AD597A">
        <w:rPr>
          <w:sz w:val="24"/>
          <w:szCs w:val="24"/>
        </w:rPr>
        <w:fldChar w:fldCharType="begin" w:fldLock="1"/>
      </w:r>
      <w:r w:rsidR="004648C4">
        <w:rPr>
          <w:sz w:val="24"/>
          <w:szCs w:val="24"/>
        </w:rPr>
        <w:instrText>ADDIN CSL_CITATION {"citationItems":[{"id":"ITEM-1","itemData":{"DOI":"10.1136/bmj.o1464","ISBN":"2021067068","ISSN":"17561833","PMID":"35700988","author":[{"dropping-particle":"","family":"Ding","given":"Ding","non-dropping-particle":"","parse-names":false,"suffix":""},{"dropping-particle":"","family":"Eres","given":"Robert","non-dropping-particle":"","parse-names":false,"suffix":""},{"dropping-particle":"","family":"Surkalim","given":"Daniel L.","non-dropping-particle":"","parse-names":false,"suffix":""}],"container-title":"The BMJ","id":"ITEM-1","issue":"June","issued":{"date-parts":[["2022"]]},"page":"3-4","title":"A lonely planet: time to tackle loneliness as a public health issue","type":"article-journal"},"uris":["http://www.mendeley.com/documents/?uuid=39bdca17-69ee-452d-84ac-6ac40cdb66f8"]}],"mendeley":{"formattedCitation":"(Ding et al., 2022)","plainTextFormattedCitation":"(Ding et al., 2022)","previouslyFormattedCitation":"(Ding et al., 2022)"},"properties":{"noteIndex":0},"schema":"https://github.com/citation-style-language/schema/raw/master/csl-citation.json"}</w:instrText>
      </w:r>
      <w:r w:rsidR="0014657F" w:rsidRPr="00AD597A">
        <w:rPr>
          <w:sz w:val="24"/>
          <w:szCs w:val="24"/>
        </w:rPr>
        <w:fldChar w:fldCharType="separate"/>
      </w:r>
      <w:r w:rsidR="000443B6" w:rsidRPr="00A066FF">
        <w:rPr>
          <w:noProof/>
          <w:sz w:val="24"/>
          <w:szCs w:val="24"/>
        </w:rPr>
        <w:t>(Ding et al., 2022)</w:t>
      </w:r>
      <w:r w:rsidR="0014657F" w:rsidRPr="00AD597A">
        <w:rPr>
          <w:sz w:val="24"/>
          <w:szCs w:val="24"/>
        </w:rPr>
        <w:fldChar w:fldCharType="end"/>
      </w:r>
      <w:r w:rsidRPr="00AD597A">
        <w:rPr>
          <w:sz w:val="24"/>
          <w:szCs w:val="24"/>
        </w:rPr>
        <w:t xml:space="preserve">. </w:t>
      </w:r>
      <w:r w:rsidR="00606426">
        <w:rPr>
          <w:sz w:val="24"/>
          <w:szCs w:val="24"/>
        </w:rPr>
        <w:t>Such c</w:t>
      </w:r>
      <w:r w:rsidR="00606426" w:rsidRPr="00606426">
        <w:rPr>
          <w:sz w:val="24"/>
          <w:szCs w:val="24"/>
        </w:rPr>
        <w:t>ampaigns c</w:t>
      </w:r>
      <w:r w:rsidR="00606426">
        <w:rPr>
          <w:sz w:val="24"/>
          <w:szCs w:val="24"/>
        </w:rPr>
        <w:t>ould</w:t>
      </w:r>
      <w:r w:rsidR="00606426" w:rsidRPr="00606426">
        <w:rPr>
          <w:sz w:val="24"/>
          <w:szCs w:val="24"/>
        </w:rPr>
        <w:t xml:space="preserve"> help destigmati</w:t>
      </w:r>
      <w:r w:rsidR="00606426">
        <w:rPr>
          <w:sz w:val="24"/>
          <w:szCs w:val="24"/>
        </w:rPr>
        <w:t>s</w:t>
      </w:r>
      <w:r w:rsidR="00606426" w:rsidRPr="00606426">
        <w:rPr>
          <w:sz w:val="24"/>
          <w:szCs w:val="24"/>
        </w:rPr>
        <w:t>e loneliness</w:t>
      </w:r>
      <w:r w:rsidR="00606426">
        <w:rPr>
          <w:sz w:val="24"/>
          <w:szCs w:val="24"/>
        </w:rPr>
        <w:t xml:space="preserve"> in Ireland</w:t>
      </w:r>
      <w:r w:rsidR="004F2933">
        <w:rPr>
          <w:sz w:val="24"/>
          <w:szCs w:val="24"/>
        </w:rPr>
        <w:t xml:space="preserve"> </w:t>
      </w:r>
      <w:r w:rsidR="004F2933">
        <w:rPr>
          <w:sz w:val="24"/>
          <w:szCs w:val="24"/>
        </w:rPr>
        <w:fldChar w:fldCharType="begin" w:fldLock="1"/>
      </w:r>
      <w:r w:rsidR="004648C4">
        <w:rPr>
          <w:sz w:val="24"/>
          <w:szCs w:val="24"/>
        </w:rPr>
        <w:instrText>ADDIN CSL_CITATION {"citationItems":[{"id":"ITEM-1","itemData":{"DOI":"10.1108/QAOA-04-2018-0015","ISSN":"20428766","abstract":"Purpose: The purpose of this paper is to investigate the relationship between the age-friendliness of local environments and self-reported loneliness for a representative sample of community-dwelling adults aged 55+ in Ireland. Design/methodology/approach: Data were from the Healthy and Positive Ageing Initiative Age friendly Cities and Counties Survey (n=10,540) (2016). Several age friendly indicators, as proposed by World Health Organisation, were included in this study: outdoor spaces and buildings; access to social services; social participation; respect and social inclusion; and transport. Loneliness was measured using five items from the UCLA Loneliness Scale. Informed by an ecological approach to ageing, multi-level negative binomial regression models were used to investigate the association between each age friendly indicator and social loneliness. Models were adjusted for known demographic, socio-economic and health correlates of loneliness. Findings: Average loneliness scores were significantly higher for those in poorer health, who lived alone, were materially deprived and those never or formerly married. Lower ratings and poorer outcomes for several interrelated age friendly place-based factors were significantly associated with higher loneliness scores: difficulty with transport, difficulty accessing social services, barriers to community activities, lower social engagement, and experiences and perceptions of ageism in the community; however, the effect sizes were small. Originality/value: This study identified several modifiable age friendly features of local environments that are associated with loneliness in this older population. The results of this study can inform coordinated local and national efforts to enhance the age-friendliness of local environments and reduce the risk and experience of loneliness among the ageing population in Ireland.","author":[{"dropping-particle":"","family":"Gibney","given":"Sarah","non-dropping-particle":"","parse-names":false,"suffix":""},{"dropping-particle":"","family":"Moore","given":"Tara","non-dropping-particle":"","parse-names":false,"suffix":""},{"dropping-particle":"","family":"Shannon","given":"Sinead","non-dropping-particle":"","parse-names":false,"suffix":""}],"container-title":"Quality in Ageing and Older Adults","id":"ITEM-1","issue":"2","issued":{"date-parts":[["2019"]]},"page":"80-96","title":"Loneliness in later life: a cross-sectional survey analysis of place-based factors in Ireland","type":"article-journal","volume":"20"},"uris":["http://www.mendeley.com/documents/?uuid=74cc4e79-6c52-48b8-aa95-b30a9c6dc44b"]}],"mendeley":{"formattedCitation":"(Gibney et al., 2019)","plainTextFormattedCitation":"(Gibney et al., 2019)","previouslyFormattedCitation":"(Gibney et al., 2019)"},"properties":{"noteIndex":0},"schema":"https://github.com/citation-style-language/schema/raw/master/csl-citation.json"}</w:instrText>
      </w:r>
      <w:r w:rsidR="004F2933">
        <w:rPr>
          <w:sz w:val="24"/>
          <w:szCs w:val="24"/>
        </w:rPr>
        <w:fldChar w:fldCharType="separate"/>
      </w:r>
      <w:r w:rsidR="000443B6" w:rsidRPr="00A066FF">
        <w:rPr>
          <w:noProof/>
          <w:sz w:val="24"/>
          <w:szCs w:val="24"/>
        </w:rPr>
        <w:t>(Gibney et al., 2019)</w:t>
      </w:r>
      <w:r w:rsidR="004F2933">
        <w:rPr>
          <w:sz w:val="24"/>
          <w:szCs w:val="24"/>
        </w:rPr>
        <w:fldChar w:fldCharType="end"/>
      </w:r>
      <w:r w:rsidR="00606426" w:rsidRPr="00606426">
        <w:rPr>
          <w:sz w:val="24"/>
          <w:szCs w:val="24"/>
        </w:rPr>
        <w:t>, encouraging individuals to acknowledge their feelings and overcome reluctance to seek support.</w:t>
      </w:r>
      <w:r w:rsidR="00606426">
        <w:rPr>
          <w:sz w:val="24"/>
          <w:szCs w:val="24"/>
        </w:rPr>
        <w:t xml:space="preserve"> </w:t>
      </w:r>
      <w:r w:rsidR="00F26E52">
        <w:rPr>
          <w:sz w:val="24"/>
          <w:szCs w:val="24"/>
        </w:rPr>
        <w:t>There may also be a case for tailoring public health campaigns</w:t>
      </w:r>
      <w:r w:rsidRPr="00AD597A">
        <w:rPr>
          <w:sz w:val="24"/>
          <w:szCs w:val="24"/>
        </w:rPr>
        <w:t xml:space="preserve"> to different age groups, recogni</w:t>
      </w:r>
      <w:r w:rsidR="00F24F39" w:rsidRPr="00AD597A">
        <w:rPr>
          <w:sz w:val="24"/>
          <w:szCs w:val="24"/>
        </w:rPr>
        <w:t>s</w:t>
      </w:r>
      <w:r w:rsidRPr="00AD597A">
        <w:rPr>
          <w:sz w:val="24"/>
          <w:szCs w:val="24"/>
        </w:rPr>
        <w:t>ing the unique challenges faced by younger adults</w:t>
      </w:r>
      <w:r w:rsidR="00F24F39" w:rsidRPr="00AD597A">
        <w:rPr>
          <w:sz w:val="24"/>
          <w:szCs w:val="24"/>
        </w:rPr>
        <w:t xml:space="preserve"> </w:t>
      </w:r>
      <w:r w:rsidR="0014657F" w:rsidRPr="00AD597A">
        <w:rPr>
          <w:sz w:val="24"/>
          <w:szCs w:val="24"/>
        </w:rPr>
        <w:t>for example</w:t>
      </w:r>
      <w:r w:rsidRPr="00AD597A">
        <w:rPr>
          <w:sz w:val="24"/>
          <w:szCs w:val="24"/>
        </w:rPr>
        <w:t>. Th</w:t>
      </w:r>
      <w:r w:rsidR="006E2B82">
        <w:rPr>
          <w:sz w:val="24"/>
          <w:szCs w:val="24"/>
        </w:rPr>
        <w:t>e</w:t>
      </w:r>
      <w:r w:rsidRPr="00AD597A">
        <w:rPr>
          <w:sz w:val="24"/>
          <w:szCs w:val="24"/>
        </w:rPr>
        <w:t xml:space="preserve"> finding</w:t>
      </w:r>
      <w:r w:rsidR="000B2088" w:rsidRPr="00AD597A">
        <w:rPr>
          <w:sz w:val="24"/>
          <w:szCs w:val="24"/>
        </w:rPr>
        <w:t>s</w:t>
      </w:r>
      <w:r w:rsidRPr="00AD597A">
        <w:rPr>
          <w:sz w:val="24"/>
          <w:szCs w:val="24"/>
        </w:rPr>
        <w:t xml:space="preserve"> suggest a need for targeted interventions aimed at supporting young people in navigating the transitions to adulthood, fostering healthy relationships, and mitigating the potential negative impacts of social media and digital platforms</w:t>
      </w:r>
      <w:r w:rsidR="0064738E" w:rsidRPr="00AD597A">
        <w:rPr>
          <w:sz w:val="24"/>
          <w:szCs w:val="24"/>
        </w:rPr>
        <w:t xml:space="preserve"> </w:t>
      </w:r>
      <w:r w:rsidR="00424A40" w:rsidRPr="00AD597A">
        <w:rPr>
          <w:sz w:val="24"/>
          <w:szCs w:val="24"/>
        </w:rPr>
        <w:fldChar w:fldCharType="begin" w:fldLock="1"/>
      </w:r>
      <w:r w:rsidR="004648C4">
        <w:rPr>
          <w:sz w:val="24"/>
          <w:szCs w:val="24"/>
        </w:rPr>
        <w:instrText>ADDIN CSL_CITATION {"citationItems":[{"id":"ITEM-1","itemData":{"DOI":"10.1016/j.euroneuro.2020.10.007","ISSN":"18737862","PMID":"33162291","abstract":"Promotion of good mental health in young people is important. Our aim was to evaluate the consistency and magnitude of the efficacy of universal/selective interventions to promote good mental health. A systematic PRISMA/RIGHT-compliant meta-analysis (PROSPERO: CRD42018088708) search of Web of Science until 04/31/2019 identified original studies comparing the efficacy of universal/selective interventions for good mental health vs a control group, in samples with a mean age &lt;35 years. Meta-analytical random-effects model, heterogeneity statistics, assessment of publication bias, study quality and sensitivity analyses investigated the efficacy (Hedges’ g=effect size, ES) of universal/selective interventions to promote 14 good mental health outcomes defined a-priori. 276 studies were included (total participants: 159,508, 79,142 interventions and 80,366 controls), mean age=15.0 (SD=7.4); female=56.0%. There was a significant overall improvement in 10/13 good mental health outcome categories that could be meta-analysed: compared to controls, interventions significantly improved (in descending order of magnitude) mental health literacy (ES=0.685, p&lt;0.001), emotions (ES=0.541, p&lt;0.001), self-perceptions and values (ES=0.49, p&lt;0.001), quality of life (ES=0.457, p=0.001), cognitive skills (ES=0.428, p&lt;0.001), social skills (ES=0.371, p&lt;0.001), physical health (ES=0.285, p&lt;0.001), sexual health (ES=0.257, p=0.017), academic/occupational performance (ES=0.211, p&lt;0.001) and attitude towards mental disorders (ES=0.177, p=0.006). Psychoeducation was the most effective intervention for promoting mental health literacy (ES=0.774, p&lt;0.001) and cognitive skills (ES=1.153, p=0.03). Physical therapy, exercise and relaxation were more effective than psychoeducation and psychotherapy for promoting physical health (ES=0.498, p&lt;0.001). In conclusion, several universal/selective interventions can be effective to promote good mental health in young people. Future research should consolidate and extend these findings.","author":[{"dropping-particle":"","family":"Salazar de Pablo","given":"Gonzalo","non-dropping-particle":"","parse-names":false,"suffix":""},{"dropping-particle":"","family":"Micheli","given":"Andrea","non-dropping-particle":"De","parse-names":false,"suffix":""},{"dropping-particle":"","family":"Nieman","given":"Dorien H.","non-dropping-particle":"","parse-names":false,"suffix":""},{"dropping-particle":"","family":"Correll","given":"Christoph U.","non-dropping-particle":"","parse-names":false,"suffix":""},{"dropping-particle":"","family":"Kessing","given":"Lars Vedel","non-dropping-particle":"","parse-names":false,"suffix":""},{"dropping-particle":"","family":"Pfennig","given":"Andrea","non-dropping-particle":"","parse-names":false,"suffix":""},{"dropping-particle":"","family":"Bechdolf","given":"Andreas","non-dropping-particle":"","parse-names":false,"suffix":""},{"dropping-particle":"","family":"Borgwardt","given":"Stefan","non-dropping-particle":"","parse-names":false,"suffix":""},{"dropping-particle":"","family":"Arango","given":"Celso","non-dropping-particle":"","parse-names":false,"suffix":""},{"dropping-particle":"","family":"Amelsvoort","given":"Therese","non-dropping-particle":"van","parse-names":false,"suffix":""},{"dropping-particle":"","family":"Vieta","given":"Eduard","non-dropping-particle":"","parse-names":false,"suffix":""},{"dropping-particle":"","family":"Solmi","given":"Marco","non-dropping-particle":"","parse-names":false,"suffix":""},{"dropping-particle":"","family":"Oliver","given":"Dominic","non-dropping-particle":"","parse-names":false,"suffix":""},{"dropping-particle":"","family":"Catalan","given":"Ana","non-dropping-particle":"","parse-names":false,"suffix":""},{"dropping-particle":"","family":"Verdino","given":"Valeria","non-dropping-particle":"","parse-names":false,"suffix":""},{"dropping-particle":"","family":"Maggio","given":"Lucia","non-dropping-particle":"Di","parse-names":false,"suffix":""},{"dropping-particle":"","family":"Bonoldi","given":"Ilaria","non-dropping-particle":"","parse-names":false,"suffix":""},{"dropping-particle":"","family":"Vaquerizo-Serrano","given":"Julio","non-dropping-particle":"","parse-names":false,"suffix":""},{"dropping-particle":"","family":"Baccaredda Boy","given":"Ottone","non-dropping-particle":"","parse-names":false,"suffix":""},{"dropping-particle":"","family":"Provenzani","given":"Umberto","non-dropping-particle":"","parse-names":false,"suffix":""},{"dropping-particle":"","family":"Ruzzi","given":"Francesca","non-dropping-particle":"","parse-names":false,"suffix":""},{"dropping-particle":"","family":"Calorio","given":"Federica","non-dropping-particle":"","parse-names":false,"suffix":""},{"dropping-particle":"","family":"Nosari","given":"Guido","non-dropping-particle":"","parse-names":false,"suffix":""},{"dropping-particle":"","family":"Marco","given":"Benedetto","non-dropping-particle":"Di","parse-names":false,"suffix":""},{"dropping-particle":"","family":"Famularo","given":"Irene","non-dropping-particle":"","parse-names":false,"suffix":""},{"dropping-particle":"","family":"Molteni","given":"Silvia","non-dropping-particle":"","parse-names":false,"suffix":""},{"dropping-particle":"","family":"Filosi","given":"Eleonora","non-dropping-particle":"","parse-names":false,"suffix":""},{"dropping-particle":"","family":"Mensi","given":"Martina","non-dropping-particle":"","parse-names":false,"suffix":""},{"dropping-particle":"","family":"Balottin","given":"Umberto","non-dropping-particle":"","parse-names":false,"suffix":""},{"dropping-particle":"","family":"Politi","given":"Pierluigi","non-dropping-particle":"","parse-names":false,"suffix":""},{"dropping-particle":"Il","family":"Shin","given":"Jae","non-dropping-particle":"","parse-names":false,"suffix":""},{"dropping-particle":"","family":"Fusar-Poli","given":"Paolo","non-dropping-particle":"","parse-names":false,"suffix":""}],"container-title":"European Neuropsychopharmacology","id":"ITEM-1","issued":{"date-parts":[["2020"]]},"page":"28-39","publisher":"Elsevier B.V.","title":"Universal and selective interventions to promote good mental health in young people: Systematic review and meta-analysis","type":"article-journal","volume":"41"},"uris":["http://www.mendeley.com/documents/?uuid=c7049844-92a4-47ce-a279-2b20d555a037"]},{"id":"ITEM-2","itemData":{"DOI":"10.1007/s00127-024-02722-1","ISSN":"14339285","abstract":"Purpose: Early adulthood is a period which may increase vulnerability to loneliness and mental health difficulties among young adults. Social networks play an important role in buffering against adverse mental health, but there is a lack of evidence around whether social connection interventions could play a role in preventing mental health difficulties for young adults. Methods: A systematic review and meta-analysis was conducted (PROSPERO ID: CRD42023395595). PubMed, PsycInfo, and Scopus were searched (01 January 2000–01 January 2023). Studies were eligible if they (i) were quantitative, (ii) included young adults (18–24 years) from the general population, (iii) tested a social intervention which aimed to increase the quantity or quality of social connections or reduce loneliness, (iv) had a comparison group, and (v) measured depression and loneliness/social connection as outcomes. Following study screening and selection, the data extraction and risk of bias assessments were independently conducted in duplicate. The Cochrane RoB-2 tool and ROBINS-I tool were used to assess risk of bias. Results were narratively synthesised and random effects meta-analysis with standardised mean differences was conducted. Results: Six studies were included; four in-person interventions with higher education students, one online intervention with higher education students, and one intervention for youth involved in street life. The studies were mostly rated as having some or moderate concerns with risk of bias. The interventions were associated with an overall mean reduction in depression for young adults (SMD = -0.19; 95% CI, -0.33 to -0.05; p = 0.008; 4 studies, excluding studies with serious risk of bias). All interventions had beneficial effects on a range of diverse social connection outcomes, but there was no overall statistically significant mean reduction in loneliness for young adults in pooled analyses (SMD = -0.10; 95% CI, -0.24 to 0.05; p = 0.188; 3 studies). Conclusion: Social connection interventions show some promise in improving depression and social connection outcomes in young adults but more high-quality research, across diverse settings, is needed in this area.","author":[{"dropping-particle":"","family":"Alvarez","given":"Clotilde Vazquez","non-dropping-particle":"","parse-names":false,"suffix":""},{"dropping-particle":"","family":"Mirza","given":"Luwaiza","non-dropping-particle":"","parse-names":false,"suffix":""},{"dropping-particle":"","family":"Das-Munshi","given":"Jayati","non-dropping-particle":"","parse-names":false,"suffix":""},{"dropping-particle":"","family":"Oswald","given":"Tassia Kate","non-dropping-particle":"","parse-names":false,"suffix":""}],"container-title":"Social Psychiatry and Psychiatric Epidemiology","id":"ITEM-2","issued":{"date-parts":[["2024"]]},"title":"Social connection interventions and depression in young adults: a systematic review and meta-analysis","type":"article-journal"},"uris":["http://www.mendeley.com/documents/?uuid=fb55b0c1-510f-403d-b77d-ad82ee005978"]}],"mendeley":{"formattedCitation":"(Alvarez et al., 2024; Salazar de Pablo et al., 2020)","plainTextFormattedCitation":"(Alvarez et al., 2024; Salazar de Pablo et al., 2020)","previouslyFormattedCitation":"(Alvarez et al., 2024; Salazar de Pablo et al., 2020)"},"properties":{"noteIndex":0},"schema":"https://github.com/citation-style-language/schema/raw/master/csl-citation.json"}</w:instrText>
      </w:r>
      <w:r w:rsidR="00424A40" w:rsidRPr="00AD597A">
        <w:rPr>
          <w:sz w:val="24"/>
          <w:szCs w:val="24"/>
        </w:rPr>
        <w:fldChar w:fldCharType="separate"/>
      </w:r>
      <w:r w:rsidR="000443B6" w:rsidRPr="00A066FF">
        <w:rPr>
          <w:noProof/>
          <w:sz w:val="24"/>
          <w:szCs w:val="24"/>
        </w:rPr>
        <w:t>(Alvarez et al., 2024; Salazar de Pablo et al., 2020)</w:t>
      </w:r>
      <w:r w:rsidR="00424A40" w:rsidRPr="00AD597A">
        <w:rPr>
          <w:sz w:val="24"/>
          <w:szCs w:val="24"/>
        </w:rPr>
        <w:fldChar w:fldCharType="end"/>
      </w:r>
      <w:r w:rsidRPr="00AD597A">
        <w:rPr>
          <w:sz w:val="24"/>
          <w:szCs w:val="24"/>
        </w:rPr>
        <w:t xml:space="preserve">. </w:t>
      </w:r>
    </w:p>
    <w:p w14:paraId="4ABD4496" w14:textId="0D63F962" w:rsidR="00EF42BE" w:rsidRPr="00AD597A" w:rsidRDefault="00457A45" w:rsidP="00EF42BE">
      <w:pPr>
        <w:spacing w:line="360" w:lineRule="auto"/>
        <w:rPr>
          <w:sz w:val="24"/>
          <w:szCs w:val="24"/>
        </w:rPr>
      </w:pPr>
      <w:r w:rsidRPr="00AD597A">
        <w:rPr>
          <w:sz w:val="24"/>
          <w:szCs w:val="24"/>
        </w:rPr>
        <w:t>Prioritising policies that foster social capital and community engagement is also crucial. Investing in community infrastructure</w:t>
      </w:r>
      <w:r w:rsidR="00FF3EBD">
        <w:rPr>
          <w:sz w:val="24"/>
          <w:szCs w:val="24"/>
        </w:rPr>
        <w:t xml:space="preserve"> such as community centres, </w:t>
      </w:r>
      <w:r w:rsidRPr="00AD597A">
        <w:rPr>
          <w:sz w:val="24"/>
          <w:szCs w:val="24"/>
        </w:rPr>
        <w:t>supporting voluntary organi</w:t>
      </w:r>
      <w:r w:rsidR="00905CA1" w:rsidRPr="00AD597A">
        <w:rPr>
          <w:sz w:val="24"/>
          <w:szCs w:val="24"/>
        </w:rPr>
        <w:t>s</w:t>
      </w:r>
      <w:r w:rsidRPr="00AD597A">
        <w:rPr>
          <w:sz w:val="24"/>
          <w:szCs w:val="24"/>
        </w:rPr>
        <w:t xml:space="preserve">ations, and creating opportunities for social interaction can strengthen social networks and reduce social isolation. </w:t>
      </w:r>
      <w:r w:rsidR="00905CA1" w:rsidRPr="00AD597A">
        <w:rPr>
          <w:sz w:val="24"/>
          <w:szCs w:val="24"/>
        </w:rPr>
        <w:fldChar w:fldCharType="begin" w:fldLock="1"/>
      </w:r>
      <w:r w:rsidR="004648C4">
        <w:rPr>
          <w:sz w:val="24"/>
          <w:szCs w:val="24"/>
        </w:rPr>
        <w:instrText>ADDIN CSL_CITATION {"citationItems":[{"id":"ITEM-1","itemData":{"DOI":"10.1016/j.jad.2020.11.125","ISSN":"15732517","PMID":"33302192","abstract":"Background: There is a growing prevalence of prolonged antidepressant use globally. Social group interventions may be an effective way to manage mild to moderate depression, especially with patients seeking to discontinue antidepressant use. This systematic review evaluates studies that used social group interventions to manage depression. Methods: Studies published up to June 2019 in nine bibliographic databases were identified using search terms related to depression, social interventions, and social participation. Formal therapies for depression (cognitive behaviour therapy, music therapy) were excluded as they have been reviewed elsewhere. Results: 24 studies met inclusion criteria; 14 RCTs, 6 non-randomised controlled trials and 4 pre-post evaluations. In total, 28 social group programs were evaluated, 10 arts-based groups, 13 exercise groups and 5 others. Programs ranged in ‘dose’ from 5 to 150 hours (M = 31 hours) across 4 to 75 weeks (M = 15 weeks) and produced effect sizes on depression in the small to very large range (Hedge's g = .18 to 3.19, M = 1.14). A regression analysis revealed no participant variables, study variables or intervention variables were related to effect size on depression. Limitations: Risks of bias were found, primarily in the non-randomised studies, which means the findings must be regarded as preliminary until replicated. Conclusion: These findings indicate that social group interventions are an effective way to manage mild to moderate depression symptoms in a variety of populations. This approach may also help to prevent relapse among patients tapering off antidepressant medication.","author":[{"dropping-particle":"","family":"Dingle","given":"Genevieve A.","non-dropping-particle":"","parse-names":false,"suffix":""},{"dropping-particle":"","family":"Sharman","given":"Leah S.","non-dropping-particle":"","parse-names":false,"suffix":""},{"dropping-particle":"","family":"Haslam","given":"Catherine","non-dropping-particle":"","parse-names":false,"suffix":""},{"dropping-particle":"","family":"Donald","given":"Maria","non-dropping-particle":"","parse-names":false,"suffix":""},{"dropping-particle":"","family":"Turner","given":"Cynthia","non-dropping-particle":"","parse-names":false,"suffix":""},{"dropping-particle":"","family":"Partanen","given":"Riitta","non-dropping-particle":"","parse-names":false,"suffix":""},{"dropping-particle":"","family":"Lynch","given":"Johanna","non-dropping-particle":"","parse-names":false,"suffix":""},{"dropping-particle":"","family":"Draper","given":"Grace","non-dropping-particle":"","parse-names":false,"suffix":""},{"dropping-particle":"","family":"Driel","given":"Mieke L.","non-dropping-particle":"van","parse-names":false,"suffix":""}],"container-title":"Journal of Affective Disorders","id":"ITEM-1","issue":"November 2020","issued":{"date-parts":[["2021"]]},"page":"67-81","publisher":"Elsevier B.V.","title":"The effects of social group interventions for depression: Systematic review","type":"article-journal","volume":"281"},"uris":["http://www.mendeley.com/documents/?uuid=f348a7d3-e41e-4824-aa7e-1fe74c5b4262"]}],"mendeley":{"formattedCitation":"(Dingle et al., 2021)","manualFormatting":"Dingle et al. (2021)","plainTextFormattedCitation":"(Dingle et al., 2021)","previouslyFormattedCitation":"(Dingle et al., 2021)"},"properties":{"noteIndex":0},"schema":"https://github.com/citation-style-language/schema/raw/master/csl-citation.json"}</w:instrText>
      </w:r>
      <w:r w:rsidR="00905CA1" w:rsidRPr="00AD597A">
        <w:rPr>
          <w:sz w:val="24"/>
          <w:szCs w:val="24"/>
        </w:rPr>
        <w:fldChar w:fldCharType="separate"/>
      </w:r>
      <w:r w:rsidR="00905CA1" w:rsidRPr="00AD597A">
        <w:rPr>
          <w:noProof/>
          <w:sz w:val="24"/>
          <w:szCs w:val="24"/>
        </w:rPr>
        <w:t xml:space="preserve">Dingle </w:t>
      </w:r>
      <w:r w:rsidR="00905CA1" w:rsidRPr="00AD597A">
        <w:rPr>
          <w:i/>
          <w:noProof/>
          <w:sz w:val="24"/>
          <w:szCs w:val="24"/>
        </w:rPr>
        <w:t>et al.</w:t>
      </w:r>
      <w:r w:rsidR="00905CA1" w:rsidRPr="00AD597A">
        <w:rPr>
          <w:noProof/>
          <w:sz w:val="24"/>
          <w:szCs w:val="24"/>
        </w:rPr>
        <w:t xml:space="preserve"> (2021)</w:t>
      </w:r>
      <w:r w:rsidR="00905CA1" w:rsidRPr="00AD597A">
        <w:rPr>
          <w:sz w:val="24"/>
          <w:szCs w:val="24"/>
        </w:rPr>
        <w:fldChar w:fldCharType="end"/>
      </w:r>
      <w:r w:rsidR="00905CA1" w:rsidRPr="00AD597A">
        <w:rPr>
          <w:sz w:val="24"/>
          <w:szCs w:val="24"/>
        </w:rPr>
        <w:t xml:space="preserve"> </w:t>
      </w:r>
      <w:r w:rsidRPr="00AD597A">
        <w:rPr>
          <w:sz w:val="24"/>
          <w:szCs w:val="24"/>
        </w:rPr>
        <w:t>suggest that interventions focusing on developing and maintaining positive group memberships and identities can effectively address loneliness and improve mental health. Furthermore, environmental factors, particularly the availability of social infrastructure, warrant consideration</w:t>
      </w:r>
      <w:r w:rsidR="0040253D" w:rsidRPr="00AD597A">
        <w:rPr>
          <w:sz w:val="24"/>
          <w:szCs w:val="24"/>
        </w:rPr>
        <w:t xml:space="preserve"> </w:t>
      </w:r>
      <w:r w:rsidR="00905CA1" w:rsidRPr="00AD597A">
        <w:rPr>
          <w:sz w:val="24"/>
          <w:szCs w:val="24"/>
        </w:rPr>
        <w:fldChar w:fldCharType="begin" w:fldLock="1"/>
      </w:r>
      <w:r w:rsidR="009F4B83">
        <w:rPr>
          <w:sz w:val="24"/>
          <w:szCs w:val="24"/>
        </w:rPr>
        <w:instrText>ADDIN CSL_CITATION {"citationItems":[{"id":"ITEM-1","itemData":{"author":[{"dropping-particle":"","family":"McHugh Power","given":"Joanna","non-dropping-particle":"","parse-names":false,"suffix":""},{"dropping-particle":"","family":"Swader","given":"C","non-dropping-particle":"","parse-names":false,"suffix":""}],"id":"ITEM-1","issued":{"date-parts":[["2025"]]},"number-of-pages":"1-10","publisher":"PublicPolicy.ie","title":"The Loneliest Nation in Europe? Ireland as a Case Study, and Implications for Policy","type":"book"},"uris":["http://www.mendeley.com/documents/?uuid=dc4f2091-f089-4a00-a415-c457c610fc23"]}],"mendeley":{"formattedCitation":"(McHugh Power and Swader, 2025)","plainTextFormattedCitation":"(McHugh Power and Swader, 2025)","previouslyFormattedCitation":"(McHugh Power and Swader, 2025)"},"properties":{"noteIndex":0},"schema":"https://github.com/citation-style-language/schema/raw/master/csl-citation.json"}</w:instrText>
      </w:r>
      <w:r w:rsidR="00905CA1" w:rsidRPr="00AD597A">
        <w:rPr>
          <w:sz w:val="24"/>
          <w:szCs w:val="24"/>
        </w:rPr>
        <w:fldChar w:fldCharType="separate"/>
      </w:r>
      <w:r w:rsidR="008C3EDF" w:rsidRPr="008C3EDF">
        <w:rPr>
          <w:noProof/>
          <w:sz w:val="24"/>
          <w:szCs w:val="24"/>
        </w:rPr>
        <w:t>(McHugh Power and Swader, 2025)</w:t>
      </w:r>
      <w:r w:rsidR="00905CA1" w:rsidRPr="00AD597A">
        <w:rPr>
          <w:sz w:val="24"/>
          <w:szCs w:val="24"/>
        </w:rPr>
        <w:fldChar w:fldCharType="end"/>
      </w:r>
      <w:r w:rsidRPr="00AD597A">
        <w:rPr>
          <w:sz w:val="24"/>
          <w:szCs w:val="24"/>
        </w:rPr>
        <w:t xml:space="preserve">. </w:t>
      </w:r>
      <w:r w:rsidR="00674C7F" w:rsidRPr="00AD597A">
        <w:rPr>
          <w:sz w:val="24"/>
          <w:szCs w:val="24"/>
        </w:rPr>
        <w:fldChar w:fldCharType="begin" w:fldLock="1"/>
      </w:r>
      <w:r w:rsidR="00FF3EBD">
        <w:rPr>
          <w:sz w:val="24"/>
          <w:szCs w:val="24"/>
        </w:rPr>
        <w:instrText>ADDIN CSL_CITATION {"citationItems":[{"id":"ITEM-1","itemData":{"DOI":"10.1007/s11577-023-00883-6","ISSN":"1861891X","abstract":"In Europe, individualist societies, in which people more highly value independence, have fewer people who are lonely. Yet these societies also have more people who live alone, a strong determinant of loneliness. Evidence suggests that some unrecognized societal-level resources or characteristics can explain this. We uncover multiple pathways toward a lower degree of loneliness among European societies using an ideal method for this purpose, fuzzy-set qualitative comparative analysis. Using data from the 2014 wave of the European Social Survey and other sources, we analyzed loneliness outcomes among 26 European societies. Our findings suggest two necessary conditions for a low degree of loneliness: high internet access and high association participation. Further, three pathways are sufficient for achieving less loneliness at the societal level. Most societies that have less loneliness follow both the welfare support and cultural support pathways. The third path, commercial provision, is mutually exclusive with welfare support because the former requires a weak welfare state. The surest policy for building societies that have lower rates of loneliness includes the expansion of internet accessibility, the fostering of civil society through association participation and volunteering, and a welfare state that protects potentially vulnerable populations while funding opportunities for social interaction. This article further contributes methodologically by demonstrating “configurational robustness testing,” a more comprehensive means to implement current best practices for fuzzy-set qualitative comparative analysis robustness testing.","author":[{"dropping-particle":"","family":"Swader","given":"Christopher S.","non-dropping-particle":"","parse-names":false,"suffix":""},{"dropping-particle":"","family":"Moraru","given":"Andreea Valentina","non-dropping-particle":"","parse-names":false,"suffix":""}],"container-title":"Kolner Zeitschrift fur Soziologie und Sozialpsychologie","id":"ITEM-1","issued":{"date-parts":[["2022"]]},"page":"387-414","title":"Social Infrastructure and the Alleviation of Loneliness in Europe","type":"article-journal","volume":"75"},"uris":["http://www.mendeley.com/documents/?uuid=1e8be74a-c63f-47a2-9523-70cadc091ada"]}],"mendeley":{"formattedCitation":"(Swader and Moraru, 2022)","manualFormatting":"Swader and Moraru (2022)","plainTextFormattedCitation":"(Swader and Moraru, 2022)","previouslyFormattedCitation":"(Swader and Moraru, 2022)"},"properties":{"noteIndex":0},"schema":"https://github.com/citation-style-language/schema/raw/master/csl-citation.json"}</w:instrText>
      </w:r>
      <w:r w:rsidR="00674C7F" w:rsidRPr="00AD597A">
        <w:rPr>
          <w:sz w:val="24"/>
          <w:szCs w:val="24"/>
        </w:rPr>
        <w:fldChar w:fldCharType="separate"/>
      </w:r>
      <w:r w:rsidR="00674C7F" w:rsidRPr="00AD597A">
        <w:rPr>
          <w:noProof/>
          <w:sz w:val="24"/>
          <w:szCs w:val="24"/>
        </w:rPr>
        <w:t>Swader and Moraru (2022)</w:t>
      </w:r>
      <w:r w:rsidR="00674C7F" w:rsidRPr="00AD597A">
        <w:rPr>
          <w:sz w:val="24"/>
          <w:szCs w:val="24"/>
        </w:rPr>
        <w:fldChar w:fldCharType="end"/>
      </w:r>
      <w:r w:rsidR="00674C7F" w:rsidRPr="00AD597A">
        <w:rPr>
          <w:sz w:val="24"/>
          <w:szCs w:val="24"/>
        </w:rPr>
        <w:t xml:space="preserve"> </w:t>
      </w:r>
      <w:r w:rsidR="00D54F38" w:rsidRPr="00AD597A">
        <w:rPr>
          <w:sz w:val="24"/>
          <w:szCs w:val="24"/>
        </w:rPr>
        <w:t>identify a potential deficit in Ireland's social resources, noting comparatively low</w:t>
      </w:r>
      <w:r w:rsidR="006B5A81">
        <w:rPr>
          <w:sz w:val="24"/>
          <w:szCs w:val="24"/>
        </w:rPr>
        <w:t>er</w:t>
      </w:r>
      <w:r w:rsidR="00D54F38" w:rsidRPr="00AD597A">
        <w:rPr>
          <w:sz w:val="24"/>
          <w:szCs w:val="24"/>
        </w:rPr>
        <w:t xml:space="preserve"> levels of public social infrastructure</w:t>
      </w:r>
      <w:r w:rsidR="00FF3EBD">
        <w:rPr>
          <w:sz w:val="24"/>
          <w:szCs w:val="24"/>
        </w:rPr>
        <w:t>,</w:t>
      </w:r>
      <w:r w:rsidR="00D54F38" w:rsidRPr="00AD597A">
        <w:rPr>
          <w:sz w:val="24"/>
          <w:szCs w:val="24"/>
        </w:rPr>
        <w:t xml:space="preserve"> and some of the lowest per capita expenditures on recreation, sports, and culture in Europe.</w:t>
      </w:r>
    </w:p>
    <w:p w14:paraId="71D97CCF" w14:textId="403B77B5" w:rsidR="007C71BB" w:rsidRPr="00AD597A" w:rsidRDefault="002700E2" w:rsidP="00CD3C23">
      <w:pPr>
        <w:spacing w:line="360" w:lineRule="auto"/>
        <w:rPr>
          <w:sz w:val="24"/>
          <w:szCs w:val="24"/>
        </w:rPr>
      </w:pPr>
      <w:r w:rsidRPr="00AD597A">
        <w:rPr>
          <w:sz w:val="24"/>
          <w:szCs w:val="24"/>
        </w:rPr>
        <w:t xml:space="preserve">Given the association between unemployment and </w:t>
      </w:r>
      <w:r w:rsidR="00C36375">
        <w:rPr>
          <w:sz w:val="24"/>
          <w:szCs w:val="24"/>
        </w:rPr>
        <w:t xml:space="preserve">those undertaking home duties </w:t>
      </w:r>
      <w:r w:rsidRPr="00AD597A">
        <w:rPr>
          <w:sz w:val="24"/>
          <w:szCs w:val="24"/>
        </w:rPr>
        <w:t>with loneliness, targeted support program</w:t>
      </w:r>
      <w:r w:rsidR="00267CF2" w:rsidRPr="00AD597A">
        <w:rPr>
          <w:sz w:val="24"/>
          <w:szCs w:val="24"/>
        </w:rPr>
        <w:t>me</w:t>
      </w:r>
      <w:r w:rsidRPr="00AD597A">
        <w:rPr>
          <w:sz w:val="24"/>
          <w:szCs w:val="24"/>
        </w:rPr>
        <w:t>s for these groups are warranted</w:t>
      </w:r>
      <w:r w:rsidR="00E835DD" w:rsidRPr="00AD597A">
        <w:rPr>
          <w:sz w:val="24"/>
          <w:szCs w:val="24"/>
        </w:rPr>
        <w:t xml:space="preserve"> </w:t>
      </w:r>
      <w:r w:rsidR="00E835DD" w:rsidRPr="00AD597A">
        <w:rPr>
          <w:sz w:val="24"/>
          <w:szCs w:val="24"/>
        </w:rPr>
        <w:fldChar w:fldCharType="begin" w:fldLock="1"/>
      </w:r>
      <w:r w:rsidR="0060635B" w:rsidRPr="00AD597A">
        <w:rPr>
          <w:sz w:val="24"/>
          <w:szCs w:val="24"/>
        </w:rPr>
        <w:instrText>ADDIN CSL_CITATION {"citationItems":[{"id":"ITEM-1","itemData":{"DOI":"10.1016/j.socscimed.2021.114339","ISSN":"18735347","PMID":"34455335","abstract":"There is evidence that loneliness and unemployment each have a negative impact on public health. Both are experienced across the life course and are of increasing concern in light of the COVID-19 pandemic. This review seeks to examine the strength and direction of the relationship between loneliness and unemployment in working age individuals, and in particular the potential for a self-reinforcing cycle with combined healthcare outcomes. A systematic search was undertaken in Medline, PubMed, PsycINFO, Embase and EconLit from inception to December 2020. PRISMA reporting guidelines were followed throughout this review, study quality was assessed using the Joanna Briggs Institute checklist and results were summarised in a narrative synthesis. English language studies evaluating the relationship between loneliness and unemployment in higher income western countries were included. Thirty-seven studies were identified; 30 cross-sectional and 7 longitudinal. Loneliness was measured by a direct question or loneliness scale while unemployment was self-reported or retrieved from a national register. A positive association between unemployment and increased loneliness was observed across all studies. Thus, across the life-course a clear yet complex relationship exists between unemployment and greater experience of loneliness. The magnitude of this relationship increases with the severity of loneliness and appears to peak at age 30–34 and 50–59. Logistic regression provided the greatest consistency at statistical significance revealing at least a 40% increase in the likelihood of reporting loneliness when unemployed. Recent longitudinal studies identified in this review found higher levels of loneliness following job loss, but also that loneliness was predictive of unemployment suggesting potential bi-directionality in the relationship. This bi-directionality may create a multiplier effect between loneliness and unemployment to form a self-reinforcing relationship and greater health concerns for those most at risk. Thus, review findings suggest the need for cross-sector awareness and intervention to tackle both loneliness and unemployment.","author":[{"dropping-particle":"","family":"Morrish","given":"N.","non-dropping-particle":"","parse-names":false,"suffix":""},{"dropping-particle":"","family":"Medina-Lara","given":"A.","non-dropping-particle":"","parse-names":false,"suffix":""}],"container-title":"Social Science and Medicine","id":"ITEM-1","issue":"August","issued":{"date-parts":[["2021"]]},"page":"114339","publisher":"Elsevier Ltd","title":"Does unemployment lead to greater levels of loneliness? A systematic review","type":"article-journal","volume":"287"},"uris":["http://www.mendeley.com/documents/?uuid=e21b2581-8bfc-47c4-9952-0dfece88b03c"]}],"mendeley":{"formattedCitation":"(Morrish and Medina-Lara, 2021)","plainTextFormattedCitation":"(Morrish and Medina-Lara, 2021)","previouslyFormattedCitation":"(Morrish and Medina-Lara, 2021)"},"properties":{"noteIndex":0},"schema":"https://github.com/citation-style-language/schema/raw/master/csl-citation.json"}</w:instrText>
      </w:r>
      <w:r w:rsidR="00E835DD" w:rsidRPr="00AD597A">
        <w:rPr>
          <w:sz w:val="24"/>
          <w:szCs w:val="24"/>
        </w:rPr>
        <w:fldChar w:fldCharType="separate"/>
      </w:r>
      <w:r w:rsidR="00E835DD" w:rsidRPr="00AD597A">
        <w:rPr>
          <w:noProof/>
          <w:sz w:val="24"/>
          <w:szCs w:val="24"/>
        </w:rPr>
        <w:t>(Morrish and Medina-Lara, 2021)</w:t>
      </w:r>
      <w:r w:rsidR="00E835DD" w:rsidRPr="00AD597A">
        <w:rPr>
          <w:sz w:val="24"/>
          <w:szCs w:val="24"/>
        </w:rPr>
        <w:fldChar w:fldCharType="end"/>
      </w:r>
      <w:r w:rsidRPr="00AD597A">
        <w:rPr>
          <w:sz w:val="24"/>
          <w:szCs w:val="24"/>
        </w:rPr>
        <w:t>. These program</w:t>
      </w:r>
      <w:r w:rsidR="00267CF2" w:rsidRPr="00AD597A">
        <w:rPr>
          <w:sz w:val="24"/>
          <w:szCs w:val="24"/>
        </w:rPr>
        <w:t>me</w:t>
      </w:r>
      <w:r w:rsidRPr="00AD597A">
        <w:rPr>
          <w:sz w:val="24"/>
          <w:szCs w:val="24"/>
        </w:rPr>
        <w:t xml:space="preserve">s should not only address financial needs but also focus on fostering social connections and promoting mental wellbeing. </w:t>
      </w:r>
      <w:r w:rsidR="00AD32B0" w:rsidRPr="00AD597A">
        <w:rPr>
          <w:sz w:val="24"/>
          <w:szCs w:val="24"/>
        </w:rPr>
        <w:t>T</w:t>
      </w:r>
      <w:r w:rsidRPr="00AD597A">
        <w:rPr>
          <w:sz w:val="24"/>
          <w:szCs w:val="24"/>
        </w:rPr>
        <w:t xml:space="preserve">he </w:t>
      </w:r>
      <w:r w:rsidR="00AD32B0" w:rsidRPr="00AD597A">
        <w:rPr>
          <w:sz w:val="24"/>
          <w:szCs w:val="24"/>
        </w:rPr>
        <w:t>findings</w:t>
      </w:r>
      <w:r w:rsidR="00E835DD" w:rsidRPr="00AD597A">
        <w:rPr>
          <w:sz w:val="24"/>
          <w:szCs w:val="24"/>
        </w:rPr>
        <w:t xml:space="preserve"> of this work</w:t>
      </w:r>
      <w:r w:rsidR="00AD32B0" w:rsidRPr="00AD597A">
        <w:rPr>
          <w:sz w:val="24"/>
          <w:szCs w:val="24"/>
        </w:rPr>
        <w:t xml:space="preserve"> also </w:t>
      </w:r>
      <w:r w:rsidRPr="00AD597A">
        <w:rPr>
          <w:sz w:val="24"/>
          <w:szCs w:val="24"/>
        </w:rPr>
        <w:t>highlight the need for further research focusing on specific demographic groups, including those born outside Ireland and individuals with disabilities. Understanding the unique challenges faced by these populations is crucial for developing culturally sensitive and accessible support services</w:t>
      </w:r>
      <w:r w:rsidR="009620BA" w:rsidRPr="00AD597A">
        <w:rPr>
          <w:sz w:val="24"/>
          <w:szCs w:val="24"/>
        </w:rPr>
        <w:t xml:space="preserve"> </w:t>
      </w:r>
      <w:r w:rsidR="009620BA" w:rsidRPr="00AD597A">
        <w:rPr>
          <w:sz w:val="24"/>
          <w:szCs w:val="24"/>
        </w:rPr>
        <w:fldChar w:fldCharType="begin" w:fldLock="1"/>
      </w:r>
      <w:r w:rsidR="004648C4">
        <w:rPr>
          <w:sz w:val="24"/>
          <w:szCs w:val="24"/>
        </w:rPr>
        <w:instrText>ADDIN CSL_CITATION {"citationItems":[{"id":"ITEM-1","itemData":{"DOI":"https://doi.org/10.1016/j.ajp.2025.104381","author":[{"dropping-particle":"","family":"Salari","given":"N.","non-dropping-particle":"","parse-names":false,"suffix":""},{"dropping-particle":"","family":"Razavizadeh, S., Abdolmaleki","given":"A.","non-dropping-particle":"","parse-names":false,"suffix":""},{"dropping-particle":"","family":"Zarei","given":"H.","non-dropping-particle":"","parse-names":false,"suffix":""},{"dropping-particle":"","family":"Daneshkhah, A. Mohammadi","given":"M.","non-dropping-particle":"","parse-names":false,"suffix":""}],"container-title":"Asian Journal of Psychiatry","id":"ITEM-1","issued":{"date-parts":[["2025"]]},"title":"Global prevalence of loneliness in immigrants: A systematic review and meta-analysis","type":"article-journal"},"uris":["http://www.mendeley.com/documents/?uuid=442b5be3-2626-4b5e-aaaf-52206bf55e68"]},{"id":"ITEM-2","itemData":{"DOI":"10.3389/fpsyg.2022.1040651","ISSN":"16641078","abstract":"Introduction: People with disabilities experience loneliness to a greater extent than people without disabilities. To better understand this problem, we have conducted a systematic review of studies that involved disability and loneliness. The aims are to research what loneliness is and to conceptualize and define it in the context of disability, and the intervention strategies that have been developed. Methods: The research protocol is based on the PRISMA guidelines. Two hundred and eighty-one papers were screened and 75 reports were assessed for eligibility. Results: We have not found whether loneliness in disability is a single construct or a collection of various subtypes. We have found that there are protective factors against loneliness in disabled people, such as having a job or living in an environment without physical barriers. Discussion: In terms of the interventions for people with disabilities, the same strategies have been adopted as for the non-disabled: social skills training, enhanced social support, opportunities for interactions, and cognitive training.","author":[{"dropping-particle":"","family":"Gómez-Zúñiga","given":"Beni","non-dropping-particle":"","parse-names":false,"suffix":""},{"dropping-particle":"","family":"Pousada","given":"Modesta","non-dropping-particle":"","parse-names":false,"suffix":""},{"dropping-particle":"","family":"Armayones","given":"Manuel","non-dropping-particle":"","parse-names":false,"suffix":""}],"container-title":"Frontiers in Psychology","id":"ITEM-2","issue":"January","issued":{"date-parts":[["2023"]]},"page":"1-12","title":"Loneliness and disability: A systematic review of loneliness conceptualization and intervention strategies","type":"article-journal","volume":"13"},"uris":["http://www.mendeley.com/documents/?uuid=b992a1b7-2ce9-4808-bbf3-1188f41527e7"]}],"mendeley":{"formattedCitation":"(Gómez-Zúñiga et al., 2023; Salari et al., 2025)","plainTextFormattedCitation":"(Gómez-Zúñiga et al., 2023; Salari et al., 2025)","previouslyFormattedCitation":"(Gómez-Zúñiga et al., 2023; Salari et al., 2025)"},"properties":{"noteIndex":0},"schema":"https://github.com/citation-style-language/schema/raw/master/csl-citation.json"}</w:instrText>
      </w:r>
      <w:r w:rsidR="009620BA" w:rsidRPr="00AD597A">
        <w:rPr>
          <w:sz w:val="24"/>
          <w:szCs w:val="24"/>
        </w:rPr>
        <w:fldChar w:fldCharType="separate"/>
      </w:r>
      <w:r w:rsidR="000443B6" w:rsidRPr="00A066FF">
        <w:rPr>
          <w:noProof/>
          <w:sz w:val="24"/>
          <w:szCs w:val="24"/>
        </w:rPr>
        <w:t>(Gómez-Zúñiga et al., 2023; Salari et al., 2025)</w:t>
      </w:r>
      <w:r w:rsidR="009620BA" w:rsidRPr="00AD597A">
        <w:rPr>
          <w:sz w:val="24"/>
          <w:szCs w:val="24"/>
        </w:rPr>
        <w:fldChar w:fldCharType="end"/>
      </w:r>
      <w:r w:rsidRPr="00AD597A">
        <w:rPr>
          <w:sz w:val="24"/>
          <w:szCs w:val="24"/>
        </w:rPr>
        <w:t>. Finally, the strong negative association between loneliness and quality of life suggests that interventions aimed at reducing loneliness may have broader benefits for overall wellbein</w:t>
      </w:r>
      <w:r w:rsidR="0060635B" w:rsidRPr="00AD597A">
        <w:rPr>
          <w:sz w:val="24"/>
          <w:szCs w:val="24"/>
        </w:rPr>
        <w:t>g</w:t>
      </w:r>
      <w:r w:rsidR="00EC6EDC" w:rsidRPr="00AD597A">
        <w:rPr>
          <w:sz w:val="24"/>
          <w:szCs w:val="24"/>
        </w:rPr>
        <w:t xml:space="preserve"> </w:t>
      </w:r>
      <w:r w:rsidR="0060635B" w:rsidRPr="00AD597A">
        <w:rPr>
          <w:sz w:val="24"/>
          <w:szCs w:val="24"/>
        </w:rPr>
        <w:fldChar w:fldCharType="begin" w:fldLock="1"/>
      </w:r>
      <w:r w:rsidR="004648C4">
        <w:rPr>
          <w:sz w:val="24"/>
          <w:szCs w:val="24"/>
        </w:rPr>
        <w:instrText>ADDIN CSL_CITATION {"citationItems":[{"id":"ITEM-1","itemData":{"DOI":"10.1007/s00127-024-02722-1","ISSN":"14339285","abstract":"Purpose: Early adulthood is a period which may increase vulnerability to loneliness and mental health difficulties among young adults. Social networks play an important role in buffering against adverse mental health, but there is a lack of evidence around whether social connection interventions could play a role in preventing mental health difficulties for young adults. Methods: A systematic review and meta-analysis was conducted (PROSPERO ID: CRD42023395595). PubMed, PsycInfo, and Scopus were searched (01 January 2000–01 January 2023). Studies were eligible if they (i) were quantitative, (ii) included young adults (18–24 years) from the general population, (iii) tested a social intervention which aimed to increase the quantity or quality of social connections or reduce loneliness, (iv) had a comparison group, and (v) measured depression and loneliness/social connection as outcomes. Following study screening and selection, the data extraction and risk of bias assessments were independently conducted in duplicate. The Cochrane RoB-2 tool and ROBINS-I tool were used to assess risk of bias. Results were narratively synthesised and random effects meta-analysis with standardised mean differences was conducted. Results: Six studies were included; four in-person interventions with higher education students, one online intervention with higher education students, and one intervention for youth involved in street life. The studies were mostly rated as having some or moderate concerns with risk of bias. The interventions were associated with an overall mean reduction in depression for young adults (SMD = -0.19; 95% CI, -0.33 to -0.05; p = 0.008; 4 studies, excluding studies with serious risk of bias). All interventions had beneficial effects on a range of diverse social connection outcomes, but there was no overall statistically significant mean reduction in loneliness for young adults in pooled analyses (SMD = -0.10; 95% CI, -0.24 to 0.05; p = 0.188; 3 studies). Conclusion: Social connection interventions show some promise in improving depression and social connection outcomes in young adults but more high-quality research, across diverse settings, is needed in this area.","author":[{"dropping-particle":"","family":"Alvarez","given":"Clotilde Vazquez","non-dropping-particle":"","parse-names":false,"suffix":""},{"dropping-particle":"","family":"Mirza","given":"Luwaiza","non-dropping-particle":"","parse-names":false,"suffix":""},{"dropping-particle":"","family":"Das-Munshi","given":"Jayati","non-dropping-particle":"","parse-names":false,"suffix":""},{"dropping-particle":"","family":"Oswald","given":"Tassia Kate","non-dropping-particle":"","parse-names":false,"suffix":""}],"container-title":"Social Psychiatry and Psychiatric Epidemiology","id":"ITEM-1","issued":{"date-parts":[["2024"]]},"title":"Social connection interventions and depression in young adults: a systematic review and meta-analysis","type":"article-journal"},"uris":["http://www.mendeley.com/documents/?uuid=fb55b0c1-510f-403d-b77d-ad82ee005978"]},{"id":"ITEM-2","itemData":{"DOI":"10.1007/s00127-021-02191-w","ISBN":"0012702102","ISSN":"14339285","PMID":"34796368","abstract":"Purpose: The importance of both frequent and high-quality social connections is widely recognised. Previous reviews of interventions for promoting social connections found mixed results due to the inclusion of uncontrolled studies and merging of objective and subjective dimensions of social connections. This study aimed to compare the effectiveness of interventions designed to promote ‘objective social contact’ and the ‘quality of social connections’; and compare the effectiveness of interventions from different theoretical orientations on these social dimensions through a systematic review and meta-analysis of controlled trials. Methods: A systematic search of electronic databases Medline, Embase, PsycINFO and PubMed was conducted to identify randomised controlled trials of interventions for social isolation, loneliness, social participation and/or social connectedness in adults. Data were analysed using Stata V.16.0. Results: Fifty-eight studies met inclusion criteria (mean age = 62 years). Overall, interventions led to significant improvements in objective social contact (Hedges’ g = 0.43) and perceived quality of social connections (Hedges’ g = − 0.33). Increasing access to other people was the most effective strategy for promoting objective social contact (Hedges’ g = 0.67). Providing adults with skills to manage maladaptive attributional biases, fear-related avoidance of social situations, and barriers to social contact, was the most effective strategy for addressing deficits in perceived quality of social connections (Hedges’ g = − 0.53). Conclusion: In summary, different interventions had differential effects on the frequency and quality of social relationships and associated emotional distress. Psychological interventions hold the most promise for increasing meaningful social connections and reducing distress.","author":[{"dropping-particle":"","family":"Zagic","given":"Dino","non-dropping-particle":"","parse-names":false,"suffix":""},{"dropping-particle":"","family":"Wuthrich","given":"Viviana M.","non-dropping-particle":"","parse-names":false,"suffix":""},{"dropping-particle":"","family":"Rapee","given":"Ronald M.","non-dropping-particle":"","parse-names":false,"suffix":""},{"dropping-particle":"","family":"Wolters","given":"Nine","non-dropping-particle":"","parse-names":false,"suffix":""}],"container-title":"Social Psychiatry and Psychiatric Epidemiology","id":"ITEM-2","issue":"5","issued":{"date-parts":[["2022"]]},"page":"885-906","title":"Interventions to improve social connections: a systematic review and meta-analysis","type":"article-journal","volume":"57"},"uris":["http://www.mendeley.com/documents/?uuid=024d5ee1-d282-47bc-a4d7-5f6c6a581424"]}],"mendeley":{"formattedCitation":"(Alvarez et al., 2024; Zagic et al., 2022)","plainTextFormattedCitation":"(Alvarez et al., 2024; Zagic et al., 2022)","previouslyFormattedCitation":"(Alvarez et al., 2024; Zagic et al., 2022)"},"properties":{"noteIndex":0},"schema":"https://github.com/citation-style-language/schema/raw/master/csl-citation.json"}</w:instrText>
      </w:r>
      <w:r w:rsidR="0060635B" w:rsidRPr="00AD597A">
        <w:rPr>
          <w:sz w:val="24"/>
          <w:szCs w:val="24"/>
        </w:rPr>
        <w:fldChar w:fldCharType="separate"/>
      </w:r>
      <w:r w:rsidR="000443B6" w:rsidRPr="00A066FF">
        <w:rPr>
          <w:noProof/>
          <w:sz w:val="24"/>
          <w:szCs w:val="24"/>
        </w:rPr>
        <w:t>(Alvarez et al., 2024; Zagic et al., 2022)</w:t>
      </w:r>
      <w:r w:rsidR="0060635B" w:rsidRPr="00AD597A">
        <w:rPr>
          <w:sz w:val="24"/>
          <w:szCs w:val="24"/>
        </w:rPr>
        <w:fldChar w:fldCharType="end"/>
      </w:r>
      <w:r w:rsidRPr="00AD597A">
        <w:rPr>
          <w:sz w:val="24"/>
          <w:szCs w:val="24"/>
        </w:rPr>
        <w:t>. Policies that prioriti</w:t>
      </w:r>
      <w:r w:rsidR="0089792B" w:rsidRPr="00AD597A">
        <w:rPr>
          <w:sz w:val="24"/>
          <w:szCs w:val="24"/>
        </w:rPr>
        <w:t>s</w:t>
      </w:r>
      <w:r w:rsidRPr="00AD597A">
        <w:rPr>
          <w:sz w:val="24"/>
          <w:szCs w:val="24"/>
        </w:rPr>
        <w:t>e social connectedness and mental health could contribute to improving quality of life for individuals and communities across Ireland.</w:t>
      </w:r>
      <w:r w:rsidR="001B76A4" w:rsidRPr="00AD597A">
        <w:rPr>
          <w:sz w:val="24"/>
          <w:szCs w:val="24"/>
        </w:rPr>
        <w:t xml:space="preserve"> </w:t>
      </w:r>
    </w:p>
    <w:p w14:paraId="5EFA1859" w14:textId="7D146D81" w:rsidR="00987F78" w:rsidRPr="00AD597A" w:rsidRDefault="00786183" w:rsidP="00CD3C23">
      <w:pPr>
        <w:spacing w:line="360" w:lineRule="auto"/>
        <w:rPr>
          <w:sz w:val="24"/>
          <w:szCs w:val="24"/>
        </w:rPr>
      </w:pPr>
      <w:r w:rsidRPr="00AD597A">
        <w:rPr>
          <w:sz w:val="24"/>
          <w:szCs w:val="24"/>
        </w:rPr>
        <w:t xml:space="preserve">More broadly, </w:t>
      </w:r>
      <w:r w:rsidRPr="00AD597A">
        <w:rPr>
          <w:sz w:val="24"/>
          <w:szCs w:val="24"/>
        </w:rPr>
        <w:fldChar w:fldCharType="begin" w:fldLock="1"/>
      </w:r>
      <w:r w:rsidR="004648C4">
        <w:rPr>
          <w:sz w:val="24"/>
          <w:szCs w:val="24"/>
        </w:rPr>
        <w:instrText>ADDIN CSL_CITATION {"citationItems":[{"id":"ITEM-1","itemData":{"DOI":"10.1186/s12889-024-18370-8","ISSN":"14712458","PMID":"38693471","abstract":"Background: Even prior to the advent of the COVID-19 pandemic, there was ample evidence that loneliness and social isolation negatively impacted physical and mental health, employability, and are a financial burden on the state. In response, there has been significant policy-level attention on tackling loneliness. The objective of this scoping review was to conduct a loneliness policy landscape analysis across 52 countries of the UN European country groups. Our policy analysis sought to highlight commonalities and differences between the different national approaches to manage loneliness, with the goal to provide actionable recommendations for the consideration of policymakers wishing to develop, expand or review existing loneliness policies. Methods: We searched governmental websites using the Google search engine for publicly available documents related to loneliness and social isolation. Seventy-eight documents were identified in total, from which 23 documents were retained. Exclusion of documents was based on predetermined criteria. A structured content analysis approach was used to capture key information from the policy documents. Contextual data were captured in a configuration matrix to highlight common and unique themes. Results: We could show that most policies describe loneliness as a phenomenon that was addressed to varying degrees in different domains such as social, health, geographical, economic and political. Limited evidence was found regarding funding for suggested interventions. We synthesised actionable recommendations for the consideration of policy makers focusing on the use of language, prioritisation of interventions, revisiting previous campaigns, sharing best practice across borders, setting out a vision, evaluating interventions, and the need for the rapid and sustainable scalability of interventions. Conclusions: Our study provides the first overview of the national loneliness policy landscape, highlighting the increasing prioritisation of loneliness and social isolation as a major public health and societal issue. Our findings suggest that policymakers can sustain this momentum and strengthen their strategies by incorporating rigorous, evidence-based intervention evaluations and fostering international collaborations for knowledge sharing. We believe that policymakers can more effectively address loneliness by directing funds to develop and implement interventions that impact the individual, the community and society.","author":[{"dropping-particle":"","family":"Goldman","given":"Nina","non-dropping-particle":"","parse-names":false,"suffix":""},{"dropping-particle":"","family":"Khanna","given":"Devi","non-dropping-particle":"","parse-names":false,"suffix":""},{"dropping-particle":"","family":"Asmar","given":"Marie Line","non-dropping-particle":"El","parse-names":false,"suffix":""},{"dropping-particle":"","family":"Qualter","given":"Pamela","non-dropping-particle":"","parse-names":false,"suffix":""},{"dropping-particle":"","family":"El-Osta","given":"Austen","non-dropping-particle":"","parse-names":false,"suffix":""}],"container-title":"BMC Public Health","id":"ITEM-1","issue":"1","issued":{"date-parts":[["2024"]]},"page":"1-19","publisher":"BioMed Central","title":"Addressing loneliness and social isolation in 52 countries: a scoping review of National policies","type":"article-journal","volume":"24"},"uris":["http://www.mendeley.com/documents/?uuid=fb06a0ad-bc8c-4be0-b9a1-57917dc9e62d"]}],"mendeley":{"formattedCitation":"(Goldman et al., 2024)","manualFormatting":"Goldman et al. (2024)","plainTextFormattedCitation":"(Goldman et al., 2024)","previouslyFormattedCitation":"(Goldman et al., 2024)"},"properties":{"noteIndex":0},"schema":"https://github.com/citation-style-language/schema/raw/master/csl-citation.json"}</w:instrText>
      </w:r>
      <w:r w:rsidRPr="00AD597A">
        <w:rPr>
          <w:sz w:val="24"/>
          <w:szCs w:val="24"/>
        </w:rPr>
        <w:fldChar w:fldCharType="separate"/>
      </w:r>
      <w:r w:rsidRPr="00AD597A">
        <w:rPr>
          <w:noProof/>
          <w:sz w:val="24"/>
          <w:szCs w:val="24"/>
        </w:rPr>
        <w:t xml:space="preserve">Goldman </w:t>
      </w:r>
      <w:r w:rsidRPr="00AD597A">
        <w:rPr>
          <w:i/>
          <w:noProof/>
          <w:sz w:val="24"/>
          <w:szCs w:val="24"/>
        </w:rPr>
        <w:t>et al.</w:t>
      </w:r>
      <w:r w:rsidRPr="00AD597A">
        <w:rPr>
          <w:noProof/>
          <w:sz w:val="24"/>
          <w:szCs w:val="24"/>
        </w:rPr>
        <w:t xml:space="preserve"> (2024)</w:t>
      </w:r>
      <w:r w:rsidRPr="00AD597A">
        <w:rPr>
          <w:sz w:val="24"/>
          <w:szCs w:val="24"/>
        </w:rPr>
        <w:fldChar w:fldCharType="end"/>
      </w:r>
      <w:r w:rsidR="00987F78" w:rsidRPr="00AD597A">
        <w:rPr>
          <w:sz w:val="24"/>
          <w:szCs w:val="24"/>
        </w:rPr>
        <w:t xml:space="preserve"> recently published a valuable set of recommendations for developing loneliness policies, based on a scoping review of the European policy landscape. As they advise, effective policies require the expertise of loneliness specialists, particularly in the formulation of overarching visions and strategies. Moreover, intervention research must acknowledge the diverse experiences and needs of individuals experiencing loneliness, recogni</w:t>
      </w:r>
      <w:r w:rsidR="00FA2BAD">
        <w:rPr>
          <w:sz w:val="24"/>
          <w:szCs w:val="24"/>
        </w:rPr>
        <w:t>s</w:t>
      </w:r>
      <w:r w:rsidR="00987F78" w:rsidRPr="00AD597A">
        <w:rPr>
          <w:sz w:val="24"/>
          <w:szCs w:val="24"/>
        </w:rPr>
        <w:t>ing that no single intervention will be universally effective.</w:t>
      </w:r>
    </w:p>
    <w:p w14:paraId="03CD87EF" w14:textId="63A88ACD" w:rsidR="00AF25E6" w:rsidRPr="00410C75" w:rsidRDefault="00AF25E6" w:rsidP="00410C75">
      <w:pPr>
        <w:pStyle w:val="ListParagraph"/>
        <w:keepNext/>
        <w:numPr>
          <w:ilvl w:val="1"/>
          <w:numId w:val="17"/>
        </w:numPr>
        <w:spacing w:line="360" w:lineRule="auto"/>
        <w:rPr>
          <w:i/>
          <w:iCs/>
          <w:sz w:val="24"/>
          <w:szCs w:val="24"/>
        </w:rPr>
      </w:pPr>
      <w:r w:rsidRPr="00410C75">
        <w:rPr>
          <w:i/>
          <w:iCs/>
          <w:sz w:val="24"/>
          <w:szCs w:val="24"/>
        </w:rPr>
        <w:t>Strengths and weaknesses</w:t>
      </w:r>
    </w:p>
    <w:p w14:paraId="3EC9FA19" w14:textId="42C4E873" w:rsidR="00AF25E6" w:rsidRPr="00AD597A" w:rsidRDefault="00AF25E6" w:rsidP="00363837">
      <w:pPr>
        <w:keepNext/>
        <w:spacing w:line="360" w:lineRule="auto"/>
        <w:rPr>
          <w:sz w:val="24"/>
          <w:szCs w:val="24"/>
        </w:rPr>
      </w:pPr>
      <w:r w:rsidRPr="00AD597A">
        <w:rPr>
          <w:sz w:val="24"/>
          <w:szCs w:val="24"/>
        </w:rPr>
        <w:t xml:space="preserve">This study possesses several strengths. Its use of a representative </w:t>
      </w:r>
      <w:r w:rsidR="00B30D0F">
        <w:rPr>
          <w:sz w:val="24"/>
          <w:szCs w:val="24"/>
        </w:rPr>
        <w:t xml:space="preserve">repeated cross-sectional </w:t>
      </w:r>
      <w:r w:rsidRPr="00AD597A">
        <w:rPr>
          <w:sz w:val="24"/>
          <w:szCs w:val="24"/>
        </w:rPr>
        <w:t>sample allows for generali</w:t>
      </w:r>
      <w:r w:rsidR="0089792B" w:rsidRPr="00AD597A">
        <w:rPr>
          <w:sz w:val="24"/>
          <w:szCs w:val="24"/>
        </w:rPr>
        <w:t>s</w:t>
      </w:r>
      <w:r w:rsidRPr="00AD597A">
        <w:rPr>
          <w:sz w:val="24"/>
          <w:szCs w:val="24"/>
        </w:rPr>
        <w:t>ability of findings to the Irish population, enhancing the study's external validity. The investigation of multiple interconnected constructs – loneliness, mental health</w:t>
      </w:r>
      <w:r w:rsidR="00A02D8F">
        <w:rPr>
          <w:sz w:val="24"/>
          <w:szCs w:val="24"/>
        </w:rPr>
        <w:t xml:space="preserve"> (using </w:t>
      </w:r>
      <w:r w:rsidR="00102FA0">
        <w:rPr>
          <w:sz w:val="24"/>
          <w:szCs w:val="24"/>
        </w:rPr>
        <w:t xml:space="preserve">the MHI-5, </w:t>
      </w:r>
      <w:r w:rsidR="00A02D8F">
        <w:rPr>
          <w:sz w:val="24"/>
          <w:szCs w:val="24"/>
        </w:rPr>
        <w:t xml:space="preserve">a validated instrument </w:t>
      </w:r>
      <w:r w:rsidR="002139DA">
        <w:rPr>
          <w:sz w:val="24"/>
          <w:szCs w:val="24"/>
        </w:rPr>
        <w:fldChar w:fldCharType="begin" w:fldLock="1"/>
      </w:r>
      <w:r w:rsidR="004648C4">
        <w:rPr>
          <w:sz w:val="24"/>
          <w:szCs w:val="24"/>
        </w:rPr>
        <w:instrText>ADDIN CSL_CITATION {"citationItems":[{"id":"ITEM-1","itemData":{"ISSN":"15570657","PMID":"38956889","abstract":"Objectives: The Mental Health Inventory (MHI-5) is frequently used as a screener for mood and anxiety disorders. However, few population-based studies have validated it against a diagnostic instrument assessing disorders following current diagnostic criteria. Methods: Within the third Netherlands Mental Health Survey and Incidence Study (NEMESIS-3), a representative population-based study of adults (N = 6194; age: 18–75 years), the MHI-5 was used to measure general mental ill-health in the past month. Presence of mood (major depressive disorder, persistent depressive disorder, or bipolar disorder) and anxiety disorders (panic disorder, agoraphobia, social phobia, or generalized anxiety disorder) in the past month was assessed with a slightly modified version of the Composite International Diagnostic Interview 3.0 per the Diagnostic and Statistical Manual of Mental disorders-5. Results: The MHI-5 was good to excellent at distinguishing people with and without a mood disorder, an anxiety disorder, and any mood or anxiety disorder. The cut-off value associated with the highest sensitivity and highest specificity for mood disorder was ≤68, and ≤76 for an anxiety disorder or any mood or anxiety disorder. Conclusions: The MHI-5 can identify individuals at high risk of a current mood or anxiety disorder in the general population when diagnostic interviews are too time consuming.","author":[{"dropping-particle":"","family":"Have","given":"Margreet","non-dropping-particle":"Ten","parse-names":false,"suffix":""},{"dropping-particle":"","family":"Bon-Martens","given":"Marja J.H.","non-dropping-particle":"Van","parse-names":false,"suffix":""},{"dropping-particle":"","family":"Schouten","given":"Frederiek","non-dropping-particle":"","parse-names":false,"suffix":""},{"dropping-particle":"","family":"Dorsselaer","given":"Saskia","non-dropping-particle":"Van","parse-names":false,"suffix":""},{"dropping-particle":"","family":"Shields-Zeeman","given":"Laura","non-dropping-particle":"","parse-names":false,"suffix":""},{"dropping-particle":"","family":"Luik","given":"Annemarie I.","non-dropping-particle":"","parse-names":false,"suffix":""}],"container-title":"International Journal of Methods in Psychiatric Research","id":"ITEM-1","issue":"3","issued":{"date-parts":[["2024"]]},"page":"1-10","title":"Validity of the five-item mental health inventory for screening current mood and anxiety disorders in the general population","type":"article-journal","volume":"33"},"uris":["http://www.mendeley.com/documents/?uuid=249b2cc1-d1e4-4f66-814f-e4d46aa0963d"]}],"mendeley":{"formattedCitation":"(Ten Have et al., 2024)","plainTextFormattedCitation":"(Ten Have et al., 2024)","previouslyFormattedCitation":"(Ten Have et al., 2024)"},"properties":{"noteIndex":0},"schema":"https://github.com/citation-style-language/schema/raw/master/csl-citation.json"}</w:instrText>
      </w:r>
      <w:r w:rsidR="002139DA">
        <w:rPr>
          <w:sz w:val="24"/>
          <w:szCs w:val="24"/>
        </w:rPr>
        <w:fldChar w:fldCharType="separate"/>
      </w:r>
      <w:r w:rsidR="002139DA" w:rsidRPr="00A066FF">
        <w:rPr>
          <w:noProof/>
          <w:sz w:val="24"/>
          <w:szCs w:val="24"/>
        </w:rPr>
        <w:t>(Ten Have et al., 2024)</w:t>
      </w:r>
      <w:r w:rsidR="002139DA">
        <w:rPr>
          <w:sz w:val="24"/>
          <w:szCs w:val="24"/>
        </w:rPr>
        <w:fldChar w:fldCharType="end"/>
      </w:r>
      <w:r w:rsidR="00A02D8F">
        <w:rPr>
          <w:sz w:val="24"/>
          <w:szCs w:val="24"/>
        </w:rPr>
        <w:t>)</w:t>
      </w:r>
      <w:r w:rsidRPr="00AD597A">
        <w:rPr>
          <w:sz w:val="24"/>
          <w:szCs w:val="24"/>
        </w:rPr>
        <w:t xml:space="preserve">, and quality of life – provides a more holistic understanding of wellbeing. Furthermore, the study's findings align with established international research, strengthening the validity of the observed associations. The exploration of specific demographic factors, such as </w:t>
      </w:r>
      <w:r w:rsidR="00933728">
        <w:rPr>
          <w:sz w:val="24"/>
          <w:szCs w:val="24"/>
        </w:rPr>
        <w:t xml:space="preserve">gender, </w:t>
      </w:r>
      <w:r w:rsidRPr="00AD597A">
        <w:rPr>
          <w:sz w:val="24"/>
          <w:szCs w:val="24"/>
        </w:rPr>
        <w:t>marital status, employment status, and age, offers valuable insights into potential risk and protective factors for loneliness. Finally, the study's discussion acknowledges the specific socio-cultural context of Ireland, grounding the interpretation of findings within a relevant framework.</w:t>
      </w:r>
    </w:p>
    <w:p w14:paraId="658C6081" w14:textId="2E273414" w:rsidR="00AF25E6" w:rsidRPr="00AD597A" w:rsidRDefault="00AF25E6" w:rsidP="00363837">
      <w:pPr>
        <w:keepNext/>
        <w:spacing w:line="360" w:lineRule="auto"/>
        <w:rPr>
          <w:sz w:val="24"/>
          <w:szCs w:val="24"/>
        </w:rPr>
      </w:pPr>
      <w:r w:rsidRPr="00AD597A">
        <w:rPr>
          <w:sz w:val="24"/>
          <w:szCs w:val="24"/>
        </w:rPr>
        <w:t>However, the study also has limitations. The cross-sectional nature of the data limits the ability to draw causal inferences about the relationships between variables. While associations are identified, the directionality of these relationships remains unclear. For example, while the study finds a link between loneliness and mental health problems, it cannot determine whether loneliness leads to mental health issues or vice versa. Furthermore, the reliance on self-reported measures for loneliness, mental health, and quality of life introduces the potential for response bias. Participants may underreport or overreport certain experiences due to social desirability or recall issues</w:t>
      </w:r>
      <w:r w:rsidR="00747544" w:rsidRPr="00AD597A">
        <w:rPr>
          <w:sz w:val="24"/>
          <w:szCs w:val="24"/>
        </w:rPr>
        <w:t xml:space="preserve"> </w:t>
      </w:r>
      <w:r w:rsidR="00706BD8" w:rsidRPr="00AD597A">
        <w:rPr>
          <w:sz w:val="24"/>
          <w:szCs w:val="24"/>
        </w:rPr>
        <w:fldChar w:fldCharType="begin" w:fldLock="1"/>
      </w:r>
      <w:r w:rsidR="004648C4">
        <w:rPr>
          <w:sz w:val="24"/>
          <w:szCs w:val="24"/>
        </w:rPr>
        <w:instrText>ADDIN CSL_CITATION {"citationItems":[{"id":"ITEM-1","itemData":{"DOI":"10.1086/226466","ISSN":"00029602","PMID":"889001","author":[{"dropping-particle":"","family":"Gove","given":"W. R.","non-dropping-particle":"","parse-names":false,"suffix":""},{"dropping-particle":"","family":"Geerken","given":"M. R.","non-dropping-particle":"","parse-names":false,"suffix":""}],"container-title":"American Journal of Sociology","id":"ITEM-1","issue":"6","issued":{"date-parts":[["1977"]]},"page":"1289-1317","title":"Response bias in surveys of mental health: an empirical investigation.","type":"article-journal","volume":"82"},"uris":["http://www.mendeley.com/documents/?uuid=c441c8c2-a332-4acc-9ffa-bf15cb7b96e0"]},{"id":"ITEM-2","itemData":{"DOI":"10.1007/s10433-024-00826-w","ISBN":"0123456789","ISSN":"16139380","abstract":"Despite the growing acknowledgment of the importance of loneliness among older individuals, questionnaire length constraints may hinder the inclusion of common multi-item loneliness scales in surveys. Direct, single-item loneliness measures are a practical alternative, but scholars have expressed concerns that such measures may lead to underreporting. Our aim was to test whether such reservations are justified. We conducted a preregistered list experiment among 2,553 people aged 50 + who participated in the Dutch Longitudinal Internet studies for the Social Sciences (LISS) panel. The list experiment method has been developed to unobtrusively gather sensitive information. We compared the list experiment estimate of the prevalence of frequent loneliness with the corresponding direct question estimate to assess downward bias in the latter. Next to pooled models, we estimated models stratified by gender to assess whether loneliness underreporting differed between women and men. Relying on the direct question, we estimated that 5.9% of respondents frequently felt lonely. Our list experiment indicated that the prevalence of frequent loneliness was 13.1%. Although substantial in magnitude, the difference between both estimates was only marginally significant (Δb: 0.072, 95% CI: − 0.003;0.148, p =.06). No evidence of gender differences was found. Although we cannot be conclusive that loneliness estimates are biased downward when a direct question is used, our results call for caution with direct, single-item measures of loneliness if researchers want to avoid underreporting. Replications are needed to gain more precise insights into the extent to which direct, single-item loneliness measures are prone to downward reporting bias.","author":[{"dropping-particle":"","family":"Broek","given":"Thijs","non-dropping-particle":"van den","parse-names":false,"suffix":""},{"dropping-particle":"","family":"Lam","given":"Jack","non-dropping-particle":"","parse-names":false,"suffix":""},{"dropping-particle":"","family":"Potente","given":"Cecilia","non-dropping-particle":"","parse-names":false,"suffix":""}],"container-title":"European Journal of Ageing","id":"ITEM-2","issue":"1","issued":{"date-parts":[["2024"]]},"publisher":"Springer Netherlands","title":"Do middle-aged and older people underreport loneliness? experimental evidence from the Netherlands","type":"article-journal","volume":"21"},"uris":["http://www.mendeley.com/documents/?uuid=2ddc7142-eff3-4f5e-90cf-1427422666f3"]}],"mendeley":{"formattedCitation":"(Gove and Geerken, 1977; van den Broek et al., 2024)","plainTextFormattedCitation":"(Gove and Geerken, 1977; van den Broek et al., 2024)","previouslyFormattedCitation":"(Gove and Geerken, 1977; van den Broek et al., 2024)"},"properties":{"noteIndex":0},"schema":"https://github.com/citation-style-language/schema/raw/master/csl-citation.json"}</w:instrText>
      </w:r>
      <w:r w:rsidR="00706BD8" w:rsidRPr="00AD597A">
        <w:rPr>
          <w:sz w:val="24"/>
          <w:szCs w:val="24"/>
        </w:rPr>
        <w:fldChar w:fldCharType="separate"/>
      </w:r>
      <w:r w:rsidR="00A066FF" w:rsidRPr="00A066FF">
        <w:rPr>
          <w:noProof/>
          <w:sz w:val="24"/>
          <w:szCs w:val="24"/>
        </w:rPr>
        <w:t>(Gove and Geerken, 1977; van den Broek et al., 2024)</w:t>
      </w:r>
      <w:r w:rsidR="00706BD8" w:rsidRPr="00AD597A">
        <w:rPr>
          <w:sz w:val="24"/>
          <w:szCs w:val="24"/>
        </w:rPr>
        <w:fldChar w:fldCharType="end"/>
      </w:r>
      <w:r w:rsidRPr="00AD597A">
        <w:rPr>
          <w:sz w:val="24"/>
          <w:szCs w:val="24"/>
        </w:rPr>
        <w:t>. Finally, the study could be strengthened by including more granular measures of social connection beyond simply belonging to a club or having people to rely on</w:t>
      </w:r>
      <w:r w:rsidR="00341598">
        <w:rPr>
          <w:sz w:val="24"/>
          <w:szCs w:val="24"/>
        </w:rPr>
        <w:t xml:space="preserve">, as well </w:t>
      </w:r>
      <w:r w:rsidR="00F1532B">
        <w:rPr>
          <w:sz w:val="24"/>
          <w:szCs w:val="24"/>
        </w:rPr>
        <w:t xml:space="preserve">as </w:t>
      </w:r>
      <w:r w:rsidR="00341598">
        <w:rPr>
          <w:sz w:val="24"/>
          <w:szCs w:val="24"/>
        </w:rPr>
        <w:t xml:space="preserve">a validated instrument for loneliness such as the </w:t>
      </w:r>
      <w:r w:rsidR="00F1532B">
        <w:rPr>
          <w:sz w:val="24"/>
          <w:szCs w:val="24"/>
        </w:rPr>
        <w:t xml:space="preserve">UCLA scale </w:t>
      </w:r>
      <w:r w:rsidR="00F1532B">
        <w:rPr>
          <w:sz w:val="24"/>
          <w:szCs w:val="24"/>
        </w:rPr>
        <w:fldChar w:fldCharType="begin" w:fldLock="1"/>
      </w:r>
      <w:r w:rsidR="00FE3082">
        <w:rPr>
          <w:sz w:val="24"/>
          <w:szCs w:val="24"/>
        </w:rPr>
        <w:instrText>ADDIN CSL_CITATION {"citationItems":[{"id":"ITEM-1","itemData":{"ISSN":"00223891","PMID":"8576833","abstract":"In this article I evaluated the psychometric properties of the UCLA Loneliness Scale (Version 3). Using data from prior studies of college students, nurses, teachers, and the elderly, analyses of the reliability, validity, and factor structure of this new version of the UCLA Loneliness Scale were conducted. Results indicated that the measure was highly reliable, both in terms of internal consistency (coefficient α ranging from .89 to .94) and test-retest reliability over a 1-year period (r = .73). Convergent validity for the scale was indicated by significant correlations with other measures of loneliness. Construct validity was supported by significant relations with measures of the adequacy of the individual's interpersonal relationships, and by correlations between loneliness and measures of health and well-being. Confirmatory factor analyses indicated that a model incorporating a global bipolar loneliness factor along with two method factors reflecting direction of item wording provided a very good fit to the data across samples. Implications of these results for future measurement research on loneliness are discussed.","author":[{"dropping-particle":"","family":"Russell","given":"Daniel W.","non-dropping-particle":"","parse-names":false,"suffix":""}],"container-title":"Journal of Personality Assessment","id":"ITEM-1","issue":"1","issued":{"date-parts":[["1996"]]},"page":"20-40","title":"UCLA Loneliness Scale (Version 3): Reliability, validity, and factor structure","type":"article","volume":"66"},"uris":["http://www.mendeley.com/documents/?uuid=326ab6f2-8aac-4881-b1d4-1a0fa273d531"]}],"mendeley":{"formattedCitation":"(Russell, 1996)","plainTextFormattedCitation":"(Russell, 1996)","previouslyFormattedCitation":"(Russell, 1996)"},"properties":{"noteIndex":0},"schema":"https://github.com/citation-style-language/schema/raw/master/csl-citation.json"}</w:instrText>
      </w:r>
      <w:r w:rsidR="00F1532B">
        <w:rPr>
          <w:sz w:val="24"/>
          <w:szCs w:val="24"/>
        </w:rPr>
        <w:fldChar w:fldCharType="separate"/>
      </w:r>
      <w:r w:rsidR="00F1532B" w:rsidRPr="00F1532B">
        <w:rPr>
          <w:noProof/>
          <w:sz w:val="24"/>
          <w:szCs w:val="24"/>
        </w:rPr>
        <w:t>(Russell, 1996)</w:t>
      </w:r>
      <w:r w:rsidR="00F1532B">
        <w:rPr>
          <w:sz w:val="24"/>
          <w:szCs w:val="24"/>
        </w:rPr>
        <w:fldChar w:fldCharType="end"/>
      </w:r>
      <w:r w:rsidRPr="00AD597A">
        <w:rPr>
          <w:sz w:val="24"/>
          <w:szCs w:val="24"/>
        </w:rPr>
        <w:t>. Exploring the quality and nature of social relationships could provide a more nuanced understanding of the role of social support in mitigating loneliness</w:t>
      </w:r>
      <w:r w:rsidR="009952CE" w:rsidRPr="00AD597A">
        <w:rPr>
          <w:sz w:val="24"/>
          <w:szCs w:val="24"/>
        </w:rPr>
        <w:t xml:space="preserve"> </w:t>
      </w:r>
      <w:r w:rsidR="009952CE" w:rsidRPr="00AD597A">
        <w:rPr>
          <w:sz w:val="24"/>
          <w:szCs w:val="24"/>
        </w:rPr>
        <w:fldChar w:fldCharType="begin" w:fldLock="1"/>
      </w:r>
      <w:r w:rsidR="004648C4">
        <w:rPr>
          <w:sz w:val="24"/>
          <w:szCs w:val="24"/>
        </w:rPr>
        <w:instrText>ADDIN CSL_CITATION {"citationItems":[{"id":"ITEM-1","itemData":{"DOI":"10.1037/fam0000652","ISSN":"19391293","PMID":"32191050","abstract":"How loneliness manifests in older adult married couples is necessary to consider. Marriage partners may become more or less lonely based on shared circumstances with one another (i.e., the shared environment hypothesis). Moreover, individuals may pair off with a marriage partner who shares similar levels of loneliness (i.e., the homophily hypothesis; Cacioppo, Fowler, &amp; Christakis, 2009), which can potentially lead to higher or lower levels of loneliness. Therefore, examining couples dyadically is beneficial in order to understand how loneliness operates over time. Three waves of the Health and Retirement Study were used and participants included 1,389 older adult couples. The current study uses growth-mixture modeling to examine older adult couples’ joint loneliness trajectories. Multinomial logistic regressions were also used to examine social and demographic correlates of these trajectories. Three classes emerged, including classes characterized by high loneliness (N = 69), low loneliness (N = 998), and moderate loneliness (N = 322). Classes were distinguished at the first wave by husbands’ and wives’ marital support, husbands’ marital strain, husbands’ age, husbands’ friendship strain, and wives’ frequency of seeing friends. Overall, husbands’ and wives’ had relatively similar levels of loneliness over time and those who were in the low loneliness class tended to have more positive factors related to social connections. The present study provides insight into how loneliness functions over time among older adult couples, and has implications for practitioners who work with older adult couples. (PsycInfo Database Record (c) 2020 APA, all rights reserved)","author":[{"dropping-particle":"","family":"Ermer","given":"Ashley E.","non-dropping-particle":"","parse-names":false,"suffix":""},{"dropping-particle":"","family":"Segel-Karpas","given":"Dikla","non-dropping-particle":"","parse-names":false,"suffix":""},{"dropping-particle":"","family":"Benson","given":"Jacquelyn J.","non-dropping-particle":"","parse-names":false,"suffix":""}],"container-title":"Journal of Family Psychology","id":"ITEM-1","issue":"8","issued":{"date-parts":[["2020"]]},"page":"1014-1024","title":"Loneliness trajectories and correlates of social connections among older adult married couples.","type":"article-journal","volume":"34"},"uris":["http://www.mendeley.com/documents/?uuid=8763c66b-f9e7-4103-b0ea-659531939975"]}],"mendeley":{"formattedCitation":"(Ermer et al., 2020)","plainTextFormattedCitation":"(Ermer et al., 2020)","previouslyFormattedCitation":"(Ermer et al., 2020)"},"properties":{"noteIndex":0},"schema":"https://github.com/citation-style-language/schema/raw/master/csl-citation.json"}</w:instrText>
      </w:r>
      <w:r w:rsidR="009952CE" w:rsidRPr="00AD597A">
        <w:rPr>
          <w:sz w:val="24"/>
          <w:szCs w:val="24"/>
        </w:rPr>
        <w:fldChar w:fldCharType="separate"/>
      </w:r>
      <w:r w:rsidR="000443B6" w:rsidRPr="00A066FF">
        <w:rPr>
          <w:noProof/>
          <w:sz w:val="24"/>
          <w:szCs w:val="24"/>
        </w:rPr>
        <w:t>(Ermer et al., 2020)</w:t>
      </w:r>
      <w:r w:rsidR="009952CE" w:rsidRPr="00AD597A">
        <w:rPr>
          <w:sz w:val="24"/>
          <w:szCs w:val="24"/>
        </w:rPr>
        <w:fldChar w:fldCharType="end"/>
      </w:r>
      <w:r w:rsidRPr="00AD597A">
        <w:rPr>
          <w:sz w:val="24"/>
          <w:szCs w:val="24"/>
        </w:rPr>
        <w:t>.</w:t>
      </w:r>
    </w:p>
    <w:p w14:paraId="61D9F8A5" w14:textId="4A50D113" w:rsidR="00B16DCB" w:rsidRPr="00410C75" w:rsidRDefault="00983E3E" w:rsidP="00410C75">
      <w:pPr>
        <w:pStyle w:val="ListParagraph"/>
        <w:numPr>
          <w:ilvl w:val="1"/>
          <w:numId w:val="17"/>
        </w:numPr>
        <w:spacing w:line="360" w:lineRule="auto"/>
        <w:rPr>
          <w:i/>
          <w:iCs/>
          <w:sz w:val="24"/>
          <w:szCs w:val="24"/>
        </w:rPr>
      </w:pPr>
      <w:r w:rsidRPr="00410C75">
        <w:rPr>
          <w:i/>
          <w:iCs/>
          <w:sz w:val="24"/>
          <w:szCs w:val="24"/>
        </w:rPr>
        <w:t xml:space="preserve">Future </w:t>
      </w:r>
      <w:r w:rsidR="00A0735A" w:rsidRPr="00410C75">
        <w:rPr>
          <w:i/>
          <w:iCs/>
          <w:sz w:val="24"/>
          <w:szCs w:val="24"/>
        </w:rPr>
        <w:t>research directions</w:t>
      </w:r>
    </w:p>
    <w:p w14:paraId="30A28E9B" w14:textId="4B08C2FF" w:rsidR="00A0735A" w:rsidRPr="00AD597A" w:rsidRDefault="00A0735A" w:rsidP="00A0735A">
      <w:pPr>
        <w:spacing w:line="360" w:lineRule="auto"/>
        <w:rPr>
          <w:sz w:val="24"/>
          <w:szCs w:val="24"/>
        </w:rPr>
      </w:pPr>
      <w:r w:rsidRPr="00AD597A">
        <w:rPr>
          <w:sz w:val="24"/>
          <w:szCs w:val="24"/>
        </w:rPr>
        <w:t xml:space="preserve">These findings suggest several promising avenues for future research. Longitudinal studies are needed to disentangle the causal pathways between loneliness, mental health, and quality of life, exploring how these factors evolve over time and influence one another. Given the relatively high prevalence of occasional loneliness, research should investigate the factors that differentiate those experiencing transient loneliness from those experiencing more persistent or frequent loneliness, identifying potential protective factors and risk trajectories. Further exploration of the unique challenges faced by young adults in Ireland is crucial, particularly examining the role of social media and digital technology in contributing to or mitigating loneliness in this age group. </w:t>
      </w:r>
      <w:r w:rsidR="005E34DD" w:rsidRPr="00AD597A">
        <w:rPr>
          <w:sz w:val="24"/>
          <w:szCs w:val="24"/>
        </w:rPr>
        <w:t>Further q</w:t>
      </w:r>
      <w:r w:rsidRPr="00AD597A">
        <w:rPr>
          <w:sz w:val="24"/>
          <w:szCs w:val="24"/>
        </w:rPr>
        <w:t>ualitative research could provide valuable insights into the lived experiences of young adults, capturing the nuances of their social interactions and perceptions of social connection in the digital age. Comparative studies across different age cohorts are also needed to understand the specific social and economic factors that contribute to loneliness at different life stages in the Irish context.</w:t>
      </w:r>
    </w:p>
    <w:p w14:paraId="1AD8DE6E" w14:textId="6A838297" w:rsidR="00685102" w:rsidRPr="00AD597A" w:rsidRDefault="00A0735A" w:rsidP="00685102">
      <w:pPr>
        <w:spacing w:line="360" w:lineRule="auto"/>
        <w:rPr>
          <w:sz w:val="24"/>
          <w:szCs w:val="24"/>
        </w:rPr>
      </w:pPr>
      <w:r w:rsidRPr="00AD597A">
        <w:rPr>
          <w:sz w:val="24"/>
          <w:szCs w:val="24"/>
        </w:rPr>
        <w:t>Moreover, research should focus on the experiences of specific demographic groups, including immigrants and individuals with disabilities</w:t>
      </w:r>
      <w:r w:rsidR="0027621B">
        <w:rPr>
          <w:sz w:val="24"/>
          <w:szCs w:val="24"/>
        </w:rPr>
        <w:t xml:space="preserve"> to i</w:t>
      </w:r>
      <w:r w:rsidRPr="00AD597A">
        <w:rPr>
          <w:sz w:val="24"/>
          <w:szCs w:val="24"/>
        </w:rPr>
        <w:t>nvestigat</w:t>
      </w:r>
      <w:r w:rsidR="0027621B">
        <w:rPr>
          <w:sz w:val="24"/>
          <w:szCs w:val="24"/>
        </w:rPr>
        <w:t>e</w:t>
      </w:r>
      <w:r w:rsidRPr="00AD597A">
        <w:rPr>
          <w:sz w:val="24"/>
          <w:szCs w:val="24"/>
        </w:rPr>
        <w:t xml:space="preserve"> the impact of social integration, accessibility, and cultural factors on loneliness and mental health within these populations. A deeper understanding of the mechanisms linking loneliness to mental health and quality of life is also needed. This could involve exploring the role of cognitive factors, such as rumination and negative self-perception, as well as the impact of social isolation on physiological processes, such as stress response and immune function. Finally, research should evaluate the effectiveness of different interventions aimed at reducing loneliness and improving mental wellbeing in the Irish context. This could include examining the impact of community-based programs, social skills training, and interventions designed to promote social inclusion and reduce social isolation</w:t>
      </w:r>
      <w:r w:rsidR="00EF35F6" w:rsidRPr="00AD597A">
        <w:rPr>
          <w:sz w:val="24"/>
          <w:szCs w:val="24"/>
        </w:rPr>
        <w:t xml:space="preserve"> </w:t>
      </w:r>
      <w:r w:rsidR="00162A52" w:rsidRPr="00AD597A">
        <w:rPr>
          <w:sz w:val="24"/>
          <w:szCs w:val="24"/>
        </w:rPr>
        <w:t xml:space="preserve">(for example, </w:t>
      </w:r>
      <w:r w:rsidR="00162A52" w:rsidRPr="00AD597A">
        <w:rPr>
          <w:sz w:val="24"/>
          <w:szCs w:val="24"/>
        </w:rPr>
        <w:fldChar w:fldCharType="begin" w:fldLock="1"/>
      </w:r>
      <w:r w:rsidR="002011B8" w:rsidRPr="00AD597A">
        <w:rPr>
          <w:sz w:val="24"/>
          <w:szCs w:val="24"/>
        </w:rPr>
        <w:instrText>ADDIN CSL_CITATION {"citationItems":[{"id":"ITEM-1","itemData":{"DOI":"10.1017/S0144686X11000717","ISSN":"0144686X","abstract":"There is increasing evidence in the international literature that engagement in the arts can enhance the physical and psychological wellbeing of older people. Such engagement can increase the self-confidence and morale of older people and provide opportunities for increased social connections, leading to higher levels of social cohesion. This article is based on an evaluation of a national arts festival in Ireland called Bealtaine that celebrates creativity in older people each year during the month of May. The festival is unique in the wide range of arts-related activities it includes and the different types of organisations involved, such as local authorities, libraries, educational institutions, health and social care organisations, and voluntary bodies for older people. It includes both long-standing professionally facilitated arts programmes and one-off events at local and national levels. The evaluation used quantitative and qualitative methods to analyse two major postal surveys with organisers and consumers of the festival and face-to-face interviews with older participants, artists and organisers. The findings are overwhelmingly positive in terms of the personal and social gains arising from participation in the festival. In this context, the study provides support for the provision of enhanced and sustained funding for creative programmes for older people and, more generally, for the development of an integrated policy for older people and the arts in the country. ©2011 Cambridge University Press.","author":[{"dropping-particle":"","family":"O'Shea","given":"Eamon","non-dropping-particle":"","parse-names":false,"suffix":""},{"dropping-particle":"","family":"Léime","given":"Áine Ní","non-dropping-particle":"","parse-names":false,"suffix":""}],"container-title":"Ageing and Society","id":"ITEM-1","issue":"5","issued":{"date-parts":[["2012"]]},"page":"851-872","title":"The impact of the Bealtaine arts programme on the quality of life, wellbeing and social interaction of older people in Ireland","type":"article-journal","volume":"32"},"uris":["http://www.mendeley.com/documents/?uuid=11b1bce0-e47e-44a8-b3ea-6e530c4c1a11"]}],"mendeley":{"formattedCitation":"(O’Shea and Léime, 2012)","manualFormatting":"O’Shea and Léime, 2012)","plainTextFormattedCitation":"(O’Shea and Léime, 2012)","previouslyFormattedCitation":"(O’Shea and Léime, 2012)"},"properties":{"noteIndex":0},"schema":"https://github.com/citation-style-language/schema/raw/master/csl-citation.json"}</w:instrText>
      </w:r>
      <w:r w:rsidR="00162A52" w:rsidRPr="00AD597A">
        <w:rPr>
          <w:sz w:val="24"/>
          <w:szCs w:val="24"/>
        </w:rPr>
        <w:fldChar w:fldCharType="separate"/>
      </w:r>
      <w:r w:rsidR="00162A52" w:rsidRPr="00AD597A">
        <w:rPr>
          <w:noProof/>
          <w:sz w:val="24"/>
          <w:szCs w:val="24"/>
        </w:rPr>
        <w:t>O’Shea and Léime, 2012)</w:t>
      </w:r>
      <w:r w:rsidR="00162A52" w:rsidRPr="00AD597A">
        <w:rPr>
          <w:sz w:val="24"/>
          <w:szCs w:val="24"/>
        </w:rPr>
        <w:fldChar w:fldCharType="end"/>
      </w:r>
      <w:r w:rsidRPr="00AD597A">
        <w:rPr>
          <w:sz w:val="24"/>
          <w:szCs w:val="24"/>
        </w:rPr>
        <w:t>. Such research should utili</w:t>
      </w:r>
      <w:r w:rsidR="00162A52" w:rsidRPr="00AD597A">
        <w:rPr>
          <w:sz w:val="24"/>
          <w:szCs w:val="24"/>
        </w:rPr>
        <w:t>s</w:t>
      </w:r>
      <w:r w:rsidRPr="00AD597A">
        <w:rPr>
          <w:sz w:val="24"/>
          <w:szCs w:val="24"/>
        </w:rPr>
        <w:t>e rigorous methodologies, including randomi</w:t>
      </w:r>
      <w:r w:rsidR="00A36961" w:rsidRPr="00AD597A">
        <w:rPr>
          <w:sz w:val="24"/>
          <w:szCs w:val="24"/>
        </w:rPr>
        <w:t>s</w:t>
      </w:r>
      <w:r w:rsidRPr="00AD597A">
        <w:rPr>
          <w:sz w:val="24"/>
          <w:szCs w:val="24"/>
        </w:rPr>
        <w:t>ed controlled trials, to determine the most effective strategies for addressing loneliness and its associated negative outcomes.</w:t>
      </w:r>
    </w:p>
    <w:p w14:paraId="03FD663A" w14:textId="1035A3DC" w:rsidR="00AF25E6" w:rsidRPr="00AD597A" w:rsidRDefault="00AF25E6" w:rsidP="00410C75">
      <w:pPr>
        <w:pStyle w:val="ListParagraph"/>
        <w:numPr>
          <w:ilvl w:val="0"/>
          <w:numId w:val="17"/>
        </w:numPr>
        <w:spacing w:line="360" w:lineRule="auto"/>
        <w:rPr>
          <w:b/>
          <w:bCs/>
          <w:sz w:val="24"/>
          <w:szCs w:val="24"/>
        </w:rPr>
      </w:pPr>
      <w:r w:rsidRPr="00AD597A">
        <w:rPr>
          <w:b/>
          <w:bCs/>
          <w:sz w:val="24"/>
          <w:szCs w:val="24"/>
        </w:rPr>
        <w:t>Conclusion</w:t>
      </w:r>
    </w:p>
    <w:p w14:paraId="397D5916" w14:textId="38A0EF0B" w:rsidR="00841923" w:rsidRPr="00AD597A" w:rsidRDefault="00841923" w:rsidP="00DB25AD">
      <w:pPr>
        <w:spacing w:line="360" w:lineRule="auto"/>
        <w:rPr>
          <w:b/>
          <w:bCs/>
          <w:sz w:val="24"/>
          <w:szCs w:val="24"/>
        </w:rPr>
      </w:pPr>
      <w:r w:rsidRPr="00AD597A">
        <w:rPr>
          <w:sz w:val="24"/>
          <w:szCs w:val="24"/>
        </w:rPr>
        <w:t xml:space="preserve">In conclusion, this study offers valuable insights into the prevalence and correlates of loneliness, mental health, and quality of life within the Irish population. The findings highlight the complex interplay between these constructs, emphasising the crucial role of social connections and support networks in individual wellbeing. While the relatively </w:t>
      </w:r>
      <w:r w:rsidR="006F4907">
        <w:rPr>
          <w:sz w:val="24"/>
          <w:szCs w:val="24"/>
        </w:rPr>
        <w:t>decreasing</w:t>
      </w:r>
      <w:r w:rsidRPr="00AD597A">
        <w:rPr>
          <w:sz w:val="24"/>
          <w:szCs w:val="24"/>
        </w:rPr>
        <w:t xml:space="preserve"> prevalence of frequent loneliness </w:t>
      </w:r>
      <w:r w:rsidR="006F4907">
        <w:rPr>
          <w:sz w:val="24"/>
          <w:szCs w:val="24"/>
        </w:rPr>
        <w:t xml:space="preserve">from 2021 to 2023 </w:t>
      </w:r>
      <w:r w:rsidRPr="00AD597A">
        <w:rPr>
          <w:sz w:val="24"/>
          <w:szCs w:val="24"/>
        </w:rPr>
        <w:t xml:space="preserve">is encouraging, the </w:t>
      </w:r>
      <w:r w:rsidR="006F4907">
        <w:rPr>
          <w:sz w:val="24"/>
          <w:szCs w:val="24"/>
        </w:rPr>
        <w:t xml:space="preserve">ongoing </w:t>
      </w:r>
      <w:r w:rsidRPr="00AD597A">
        <w:rPr>
          <w:sz w:val="24"/>
          <w:szCs w:val="24"/>
        </w:rPr>
        <w:t xml:space="preserve">presence of occasional loneliness in a substantial proportion of the sample, warrants attention. The strong associations observed between loneliness, mental health problems, and diminished quality of life underscore the need for targeted interventions and policy initiatives aimed at fostering social connectedness and promoting mental wellbeing across the lifespan. Further research is needed to elucidate the causal pathways between these variables and to explore the unique experiences of specific demographic groups, informing the development of </w:t>
      </w:r>
      <w:r w:rsidR="00B97B1B">
        <w:rPr>
          <w:sz w:val="24"/>
          <w:szCs w:val="24"/>
        </w:rPr>
        <w:t>appropriate</w:t>
      </w:r>
      <w:r w:rsidRPr="00AD597A">
        <w:rPr>
          <w:sz w:val="24"/>
          <w:szCs w:val="24"/>
        </w:rPr>
        <w:t xml:space="preserve"> support services within the Irish context.</w:t>
      </w:r>
    </w:p>
    <w:p w14:paraId="18CF7AD5" w14:textId="24AC84C4" w:rsidR="00841923" w:rsidRPr="00AD597A" w:rsidRDefault="00841923" w:rsidP="00DB25AD">
      <w:pPr>
        <w:spacing w:line="360" w:lineRule="auto"/>
        <w:rPr>
          <w:sz w:val="24"/>
          <w:szCs w:val="24"/>
        </w:rPr>
      </w:pPr>
      <w:r w:rsidRPr="00AD597A">
        <w:rPr>
          <w:sz w:val="24"/>
          <w:szCs w:val="24"/>
        </w:rPr>
        <w:t>The study's findings have significant policy implications for Ireland. The demonstrated link between loneliness and mental health necessitates integrated mental health strategies that prioriti</w:t>
      </w:r>
      <w:r w:rsidR="002D2CC5" w:rsidRPr="00AD597A">
        <w:rPr>
          <w:sz w:val="24"/>
          <w:szCs w:val="24"/>
        </w:rPr>
        <w:t>s</w:t>
      </w:r>
      <w:r w:rsidRPr="00AD597A">
        <w:rPr>
          <w:sz w:val="24"/>
          <w:szCs w:val="24"/>
        </w:rPr>
        <w:t xml:space="preserve">e social connectedness. Public health campaigns promoting social inclusion and tailored interventions for </w:t>
      </w:r>
      <w:r w:rsidR="00F64F3A" w:rsidRPr="00AD597A">
        <w:rPr>
          <w:sz w:val="24"/>
          <w:szCs w:val="24"/>
        </w:rPr>
        <w:t xml:space="preserve">the mental wellbeing of </w:t>
      </w:r>
      <w:r w:rsidRPr="00AD597A">
        <w:rPr>
          <w:sz w:val="24"/>
          <w:szCs w:val="24"/>
        </w:rPr>
        <w:t xml:space="preserve">younger adults are crucial. Policies that foster social capital and community engagement, alongside support programs for unemployed individuals and </w:t>
      </w:r>
      <w:r w:rsidR="00657852">
        <w:rPr>
          <w:sz w:val="24"/>
          <w:szCs w:val="24"/>
        </w:rPr>
        <w:t>homeworkers</w:t>
      </w:r>
      <w:r w:rsidRPr="00AD597A">
        <w:rPr>
          <w:sz w:val="24"/>
          <w:szCs w:val="24"/>
        </w:rPr>
        <w:t>, should be prioriti</w:t>
      </w:r>
      <w:r w:rsidR="00D00D4C">
        <w:rPr>
          <w:sz w:val="24"/>
          <w:szCs w:val="24"/>
        </w:rPr>
        <w:t>s</w:t>
      </w:r>
      <w:r w:rsidRPr="00AD597A">
        <w:rPr>
          <w:sz w:val="24"/>
          <w:szCs w:val="24"/>
        </w:rPr>
        <w:t>ed. Furthermore, research focusing on specific demographic groups, such as immigrants and individuals with disabilities, is essential for developing culturally sensitive support services. Finally, the strong negative association between loneliness and quality of life suggests that interventions aimed at reducing loneliness may have broader benefits for overall wellbeing, contributing to improved quality of life for individuals and communities across Ireland.</w:t>
      </w:r>
    </w:p>
    <w:p w14:paraId="3EFAFC79" w14:textId="0326D671" w:rsidR="00AF25E6" w:rsidRPr="00AD597A" w:rsidRDefault="00AF25E6" w:rsidP="00DB25AD">
      <w:pPr>
        <w:spacing w:line="360" w:lineRule="auto"/>
        <w:rPr>
          <w:b/>
          <w:bCs/>
          <w:sz w:val="24"/>
          <w:szCs w:val="24"/>
        </w:rPr>
      </w:pPr>
      <w:r w:rsidRPr="00AD597A">
        <w:rPr>
          <w:b/>
          <w:bCs/>
          <w:sz w:val="24"/>
          <w:szCs w:val="24"/>
        </w:rPr>
        <w:br w:type="page"/>
      </w:r>
    </w:p>
    <w:p w14:paraId="540DB2D6" w14:textId="31E1D025" w:rsidR="00693D23" w:rsidRDefault="00693D23">
      <w:pPr>
        <w:rPr>
          <w:b/>
          <w:bCs/>
        </w:rPr>
      </w:pPr>
      <w:r w:rsidRPr="00693D23">
        <w:rPr>
          <w:b/>
          <w:bCs/>
        </w:rPr>
        <w:t>References</w:t>
      </w:r>
    </w:p>
    <w:p w14:paraId="336D8D53" w14:textId="20CB5CFE" w:rsidR="000F3A06" w:rsidRPr="000F3A06" w:rsidRDefault="00BB678D" w:rsidP="000F3A06">
      <w:pPr>
        <w:widowControl w:val="0"/>
        <w:autoSpaceDE w:val="0"/>
        <w:autoSpaceDN w:val="0"/>
        <w:adjustRightInd w:val="0"/>
        <w:spacing w:line="240" w:lineRule="auto"/>
        <w:ind w:left="480" w:hanging="480"/>
        <w:rPr>
          <w:rFonts w:ascii="Aptos" w:hAnsi="Aptos" w:cs="Times New Roman"/>
          <w:noProof/>
          <w:kern w:val="0"/>
        </w:rPr>
      </w:pPr>
      <w:r>
        <w:fldChar w:fldCharType="begin" w:fldLock="1"/>
      </w:r>
      <w:r>
        <w:instrText xml:space="preserve">ADDIN Mendeley Bibliography CSL_BIBLIOGRAPHY </w:instrText>
      </w:r>
      <w:r>
        <w:fldChar w:fldCharType="separate"/>
      </w:r>
      <w:r w:rsidR="000F3A06" w:rsidRPr="000F3A06">
        <w:rPr>
          <w:rFonts w:ascii="Aptos" w:hAnsi="Aptos" w:cs="Times New Roman"/>
          <w:noProof/>
          <w:kern w:val="0"/>
        </w:rPr>
        <w:t>Abshire, D.A., Graves, J.M., Amiri, S., Williams-Gilbert, W., 2022. Differences in Loneliness Across the Rural-Urban Continuum Among Adults Living in Washington State. J. Rural Heal. 38, 187–193. https://doi.org/10.1111/jrh.12535</w:t>
      </w:r>
    </w:p>
    <w:p w14:paraId="0CD36F2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Alvarez, C.V., Mirza, L., Das-Munshi, J., Oswald, T.K., 2024. Social connection interventions and depression in young adults: a systematic review and meta-analysis. Soc. Psychiatry Psychiatr. Epidemiol. https://doi.org/10.1007/s00127-024-02722-1</w:t>
      </w:r>
    </w:p>
    <w:p w14:paraId="265B5E3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Antonucci, T.C., Akiyama, H., 1987. An examination of sex differences in social support among older men and women. Sex Roles 17, 737–749. https://doi.org/10.1007/BF00287685</w:t>
      </w:r>
    </w:p>
    <w:p w14:paraId="1A3A4F4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Barjaková, M., Garnero, A., d’Hombres, B., 2023. Risk factors for loneliness: A literature review. Soc. Sci. Med. 334. https://doi.org/10.1016/j.socscimed.2023.116163</w:t>
      </w:r>
    </w:p>
    <w:p w14:paraId="4A0034D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Berlingieri, F., Colagrossi, M., Mauri, C., 2023. Loneliness and social connectedness: insights from a new EU-wide survey. European Commission.</w:t>
      </w:r>
    </w:p>
    <w:p w14:paraId="04F7814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Borys, S., Perlman, D., 1985. Gender differences in loneliness. Personal. Soc. Psychol. Bull. 11, 63–74.</w:t>
      </w:r>
    </w:p>
    <w:p w14:paraId="26277FF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Burlina, C., Rodríguez-Pose, A., 2023. Alone and lonely. The economic cost of solitude for regions in Europe. Environ. Plan. A 55, 2067–2087. https://doi.org/10.1177/0308518X231169286</w:t>
      </w:r>
    </w:p>
    <w:p w14:paraId="54644A1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Byrne, A., 2018. An investigation into the influence of various sources of social support for Irish mothers , on their subjective feelings of loneliness and stress . BA (Honours) Psychology Submission of Thesis and Dissertation. National College of Ireland.</w:t>
      </w:r>
    </w:p>
    <w:p w14:paraId="267C4D9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Cacioppo, J.T., Hughes, M.E., Waite, L.J., Hawkley, L.C., Thisted, R.A., 2006. Loneliness as a specific risk factor for depressive symptoms: Cross-sectional and longitudinal analyses. Psychol. Aging 21, 140–151. https://doi.org/10.1037/0882-7974.21.1.140</w:t>
      </w:r>
    </w:p>
    <w:p w14:paraId="09BA95B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Ceatha, N., Mayock, P., Campbell, J., Noone, C., Browne, K., 2019. The power of recognition: A qualitative study of social connectedness and wellbeing through LGBT sporting, creative and social groups in Ireland. Int. J. Environ. Res. Public Health 16. https://doi.org/10.3390/ijerph16193636</w:t>
      </w:r>
    </w:p>
    <w:p w14:paraId="560F70B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Cohen-Mansfield, J., Hazan, H., Lerman, Y., Shalom, V., 2016. Correlates and predictors of loneliness in older-adults: A review of quantitative results informed by qualitative insights. Int. Psychogeriatrics 28, 557–576. https://doi.org/10.1017/S1041610215001532</w:t>
      </w:r>
    </w:p>
    <w:p w14:paraId="2963FC6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Crewdson, J.A., 2016. The Effect of Loneliness in the Elderly Population: A Review. Heal. Aging Clin. Care Elder. 8, 1–8. https://doi.org/10.4137/hacce.s35890</w:t>
      </w:r>
    </w:p>
    <w:p w14:paraId="7BD64EFB"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Cronin, C., 2003. First-time mothers - Identifying their needs, perceptions and experiences. J. Clin. Nurs. 12, 260–267. https://doi.org/10.1046/j.1365-2702.2003.00684.x</w:t>
      </w:r>
    </w:p>
    <w:p w14:paraId="67A0FE66"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Cullinan, J., Walsh, S., Flannery, D., Kennelly, B., 2022. A cross-sectional analysis of psychological distress among higher education students in Ireland. Ir. J. Psychol. Med. 211–219. https://doi.org/10.1017/ipm.2022.2</w:t>
      </w:r>
    </w:p>
    <w:p w14:paraId="264C7BC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Curran, T., Hill, A.P., 2019. Perfectionism is increasing over time: A meta-analysis of birth cohort differences from 1989 to 2016. Psychol. Bull. 145, 410–429. https://doi.org/10.1037/bul0000138</w:t>
      </w:r>
    </w:p>
    <w:p w14:paraId="5F354A46"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d’Hombres, B., Barjaková, M., Schnepf, S. V., 2021. Loneliness and Social Isolation: An Unequally Shared Burden in Europe. SSRN Electron. J. https://doi.org/10.2139/ssrn.3823612</w:t>
      </w:r>
    </w:p>
    <w:p w14:paraId="1A6F362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Dahlberg, L., McKee, K.J., Frank, A., Naseer, M., 2022. A systematic review of longitudinal risk factors for loneliness in older adults. Aging Ment. Heal. 26, 225–249. https://doi.org/10.1080/13607863.2021.1876638</w:t>
      </w:r>
    </w:p>
    <w:p w14:paraId="377C232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de Maio Nascimento, M., Lampraki, C., Marques, A., Gouveia, É.R., Adsuar, J.C., Ihle, A., 2024. Longitudinal cross-lagged analysis of depression, loneliness, and quality of life in 12 European countries. BMC Public Health 24. https://doi.org/10.1186/s12889-024-19463-0</w:t>
      </w:r>
    </w:p>
    <w:p w14:paraId="305E15A5"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De Roiste, Á., 2000. Peer and parent-related loneliness in Irish adolescents. Irish J. Psychol. 21, 237–246. https://doi.org/10.1080/03033910.2000.10558256</w:t>
      </w:r>
    </w:p>
    <w:p w14:paraId="2471196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Department for Health, 2015. Connecting for Life, Ireland’s National Strategy to Reduce Suicide. Department of Health, Dublin.</w:t>
      </w:r>
    </w:p>
    <w:p w14:paraId="21E97D8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Department for Social Protection, 2023. Roadmap for Social Inclusion 2020-2025. Irish Government.</w:t>
      </w:r>
    </w:p>
    <w:p w14:paraId="1581ABD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Department of Health, 2013. Healthy Ireland - A framework for improved health and wellbeing 2013 - 2025. Government of Ireland, Dublin.</w:t>
      </w:r>
    </w:p>
    <w:p w14:paraId="2AA9298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Ding, D., Eres, R., Surkalim, D.L., 2022. A lonely planet: time to tackle loneliness as a public health issue. BMJ 3–4. https://doi.org/10.1136/bmj.o1464</w:t>
      </w:r>
    </w:p>
    <w:p w14:paraId="36A9CC4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Dingle, G.A., Sharman, L.S., Haslam, C., Donald, M., Turner, C., Partanen, R., Lynch, J., Draper, G., van Driel, M.L., 2021. The effects of social group interventions for depression: Systematic review. J. Affect. Disord. 281, 67–81. https://doi.org/10.1016/j.jad.2020.11.125</w:t>
      </w:r>
    </w:p>
    <w:p w14:paraId="2B0F4D5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Doherty, A., Sheridan, A., Chambers, D., 2022. Stronger Together: The HSE Mental Health Promotion Plan 2022-2027, Mental Health Promotion Manager. Health Service Executive.</w:t>
      </w:r>
    </w:p>
    <w:p w14:paraId="0515B76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Drennan, J., Treacy, M., Butler, M., Byrne, A., Fealy, G., Frazer, K., Irving, K., 2008. The experience of social and emotional loneliness among older people in Ireland. Ageing Soc. 28, 1113–1132. https://doi.org/10.1017/S0144686X08007526</w:t>
      </w:r>
    </w:p>
    <w:p w14:paraId="2D29ACE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Duplaga, M., Szulc, K., 2019. The association of internet use with wellbeing, mental health and health behaviours of persons with disabilities. Int. J. Environ. Res. Public Health 16. https://doi.org/10.3390/ijerph16183252</w:t>
      </w:r>
    </w:p>
    <w:p w14:paraId="32DA120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Ermer, A.E., Segel-Karpas, D., Benson, J.J., 2020. Loneliness trajectories and correlates of social connections among older adult married couples. J. Fam. Psychol. 34, 1014–1024. https://doi.org/10.1037/fam0000652</w:t>
      </w:r>
    </w:p>
    <w:p w14:paraId="72F150C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Ernst, M., Niederer, D., Werner, A.M., Czaja, S.J., Mikton, C., Ong, A.D., Rosen, T., Brähler, E., Beutel, M.E., 2022. Loneliness Before and During the COVID-19 Pandemic: A Systematic Review With Meta-Analysis. Am. Psychol. 77, 660–677. https://doi.org/10.1037/amp0001005</w:t>
      </w:r>
    </w:p>
    <w:p w14:paraId="2EB5E1A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Erzen, E., Çikrikci, Ö., 2018. The effect of loneliness on depression: A meta-analysis. Int. J. Soc. Psychiatry 64, 427–435. https://doi.org/10.1177/0020764018776349</w:t>
      </w:r>
    </w:p>
    <w:p w14:paraId="129D9B75"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Fingerman, K.L., 2017. Millennials and Their Parents: Implications of the New Young Adulthood for Midlife Adults. Innov. Aging 1, 1–16. https://doi.org/10.1093/geroni/igx026</w:t>
      </w:r>
    </w:p>
    <w:p w14:paraId="4361934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Geary, R., 1954. The Family in Irish Census of Population Statistics. Stat. Soc. Inq. Soc. Irel.</w:t>
      </w:r>
    </w:p>
    <w:p w14:paraId="115CA28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Gerino, E., Rollè, L., Sechi, C., Brustia, P., 2017. Loneliness, resilience, mental health, and quality of life in old age: A structural equation model. Front. Psychol. 8, 1–12. https://doi.org/10.3389/fpsyg.2017.02003</w:t>
      </w:r>
    </w:p>
    <w:p w14:paraId="29D2E4D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Gibney, S., Moore, T., Shannon, S., 2019. Loneliness in later life: a cross-sectional survey analysis of place-based factors in Ireland. Qual. Ageing Older Adults 20, 80–96. https://doi.org/10.1108/QAOA-04-2018-0015</w:t>
      </w:r>
    </w:p>
    <w:p w14:paraId="1AA0D10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Goldman, N., Khanna, D., El Asmar, M.L., Qualter, P., El-Osta, A., 2024. Addressing loneliness and social isolation in 52 countries: a scoping review of National policies. BMC Public Health 24, 1–19. https://doi.org/10.1186/s12889-024-18370-8</w:t>
      </w:r>
    </w:p>
    <w:p w14:paraId="267F249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Gómez-Zúñiga, B., Pousada, M., Armayones, M., 2023. Loneliness and disability: A systematic review of loneliness conceptualization and intervention strategies. Front. Psychol. 13, 1–12. https://doi.org/10.3389/fpsyg.2022.1040651</w:t>
      </w:r>
    </w:p>
    <w:p w14:paraId="76AAF5FD"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Gove, W.R., Geerken, M.R., 1977. Response bias in surveys of mental health: an empirical investigation. Am. J. Sociol. 82, 1289–1317. https://doi.org/10.1086/226466</w:t>
      </w:r>
    </w:p>
    <w:p w14:paraId="17ABDBE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Government of Ireland, 2025. Programme for Government 2025 - Securing Ireland’s future.</w:t>
      </w:r>
    </w:p>
    <w:p w14:paraId="37200376"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Government of Ireland, 2024. Healthy Ireland Survey 2024 Summary Report. Department of Health.</w:t>
      </w:r>
    </w:p>
    <w:p w14:paraId="623197D6"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Government of Ireland, 2023. Healthy Ireland Survey 2023 Summary Report. Department of Health.</w:t>
      </w:r>
    </w:p>
    <w:p w14:paraId="239AE20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Government of Ireland, 2021. Healthy Ireland Survey 2021 Summary Report Contents. Department of Health.</w:t>
      </w:r>
    </w:p>
    <w:p w14:paraId="07DD247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Graham, E.K., Beck, E.D., Jackson, K., Yoneda, T., McGhee, C., Pieramici, L., Atherton, O.E., Luo, J., Willroth, E.C., Steptoe, A., Mroczek, D.K., Ong, A.D., 2024. Do We Become More Lonely With Age? A Coordinated Data Analysis of Nine Longitudinal Studies. Psychol. Sci. 35, 579–596. https://doi.org/10.1177/09567976241242037</w:t>
      </w:r>
    </w:p>
    <w:p w14:paraId="49CCDCD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Hartog, J., 1981. The anatomy of loneliness. New York: International Universities Press.</w:t>
      </w:r>
    </w:p>
    <w:p w14:paraId="53412EB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Haslam, S.A., Haslam, C., Jetten, J., Cruwys, T., Bentley, S., 2019. Group life shapes the psychology and biology of health: The case for a sociopsychobio model. Soc. Personal. Psychol. Compass 13, 1–16. https://doi.org/10.1111/spc3.12490</w:t>
      </w:r>
    </w:p>
    <w:p w14:paraId="06AA4A66"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Hayes, S., Carlyle, M., Haslam, S.A., Haslam, C., Dingle, G., 2022. Exploring links between social identity, emotion regulation, and loneliness in those with and without a history of mental illness. Br. J. Clin. Psychol. 61, 701–734. https://doi.org/10.1111/bjc.12358</w:t>
      </w:r>
    </w:p>
    <w:p w14:paraId="4DF4E0B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Hertz, N., 2020. The Lonely Century: How to Restore Human Connection in a World That’s Pulling Apart. Crown Currency.</w:t>
      </w:r>
    </w:p>
    <w:p w14:paraId="465D355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Holt-Lunstad, J., Smith, T.B., Baker, M., Harris, T., Stephenson, D., 2015. Loneliness and Social Isolation as Risk Factors for Mortality: A Meta-Analytic Review. Perspect. Psychol. Sci. 10, 227–237. https://doi.org/10.1177/1745691614568352</w:t>
      </w:r>
    </w:p>
    <w:p w14:paraId="00D3AC7D"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Hong, J.H., Nakamura, J.S., Berkman, L.F., Chen, F.S., Shiba, K., Chen, Y., Kim, E.S., VanderWeele, T.J., 2023. Are loneliness and social isolation equal threats to health and well-being? An outcome-wide longitudinal approach. SSM - Popul. Heal. 23, 101459. https://doi.org/10.1016/j.ssmph.2023.101459</w:t>
      </w:r>
    </w:p>
    <w:p w14:paraId="538CEA2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Hussain, B., Mirza, M., Baines, R., Burns, L., Stevens, S., Asthana, S., Chatterjee, A., 2023. Loneliness and social networks of older adults in rural communities: a narrative synthesis systematic review. Front. Public Heal. 11. https://doi.org/10.3389/fpubh.2023.1113864</w:t>
      </w:r>
    </w:p>
    <w:p w14:paraId="5FFF196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Hyland, P., Vallières, F., Shevlin, M., Bentall, R.P., Butter, S., Hartman, T.K., Karatzias, T., Martinez, A.P., McBride, O., Murphy, J., Fox, R., 2022. State of Ireland’s mental health: findings from a nationally representative survey. Epidemiol. Psychiatr. Sci. 31. https://doi.org/10.1017/S2045796022000312</w:t>
      </w:r>
    </w:p>
    <w:p w14:paraId="587F78A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Infurna, F.J., Dey, N.E.Y., Avilés, T.G., Grimm, K.J., Lachman, M.E., Gerstorf, D., 2024. Loneliness in Midlife: Historical Increases and Elevated Levels in the United States Compared With Europe. Am. Psychol. https://doi.org/10.1037/amp0001322</w:t>
      </w:r>
    </w:p>
    <w:p w14:paraId="2D44D43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Infurna, F.J., Gerstorf, D., Lachman, M.E., 2020. Midlife in the 2020s: Opportunities and challenges. Am. Psychol. 75, 470–485. https://doi.org/10.1037/amp0000591</w:t>
      </w:r>
    </w:p>
    <w:p w14:paraId="448E469B"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Jakobsson, U., Hallberg, I.., 2005. Loneliness, fear, and quality of life among elderly in Sweden: a gender perspective. Aging Clin. Exp. Res. 14, 494–501.</w:t>
      </w:r>
    </w:p>
    <w:p w14:paraId="21376F1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Jentoft, E.E., Sandset, T., Haldar, M., 2024. Problematizing loneliness as a public health issue: an analysis of policy in the United Kingdom. Crit. Policy Stud. 00, 1–18. https://doi.org/10.1080/19460171.2024.2306240</w:t>
      </w:r>
    </w:p>
    <w:p w14:paraId="66AE9E5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Kamiya, Y., Doyle, M., Henretta, J.C., Timonen, V., 2014. Early-life circumstances and later-life loneliness in Ireland. Gerontologist 54, 773–783. https://doi.org/10.1093/geront/gnt097</w:t>
      </w:r>
    </w:p>
    <w:p w14:paraId="53FCBA7B"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Kirwan, E.M., O’Súilleabháin, P.S., Burns, A., Ogoro, M., Allen, E., Creaven, A.M., 2023. Exploring Loneliness in Emerging Adulthood: A Qualitative Study. Emerg. Adulthood 11, 1433–1445. https://doi.org/10.1177/21676968231194380</w:t>
      </w:r>
    </w:p>
    <w:p w14:paraId="218AE2D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Kudrna, L., Alidu, L., Dolan, P., 2024. Measuring affective components of subjective well-being- Updated evidence to inform national data collections. OECD.</w:t>
      </w:r>
    </w:p>
    <w:p w14:paraId="682D29F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Lambert Van As, B.A., Imbimbo, E., Franceschi, A., Menesini, E., Nocentini, A., 2022. The longitudinal association between loneliness and depressive symptoms in the elderly: a systematic review. Int. Psychogeriatrics 34, 657–669. https://doi.org/10.1017/S1041610221000399</w:t>
      </w:r>
    </w:p>
    <w:p w14:paraId="27B0F7F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Lee, C.M., Cadigan, J.M., Rhew, I.C., 2020. Increases in Loneliness Among Young Adults During the COVID-19 Pandemic and Association With Increases in Mental Health Problems. J. Adolesc. Heal. 67, 714–717. https://doi.org/10.1016/j.jadohealth.2020.08.009</w:t>
      </w:r>
    </w:p>
    <w:p w14:paraId="4B24F6B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Liu, S., Haucke, M.N., Heinzel, S., Heinz, A., 2021. Long</w:t>
      </w:r>
      <w:r w:rsidRPr="000F3A06">
        <w:rPr>
          <w:rFonts w:ascii="Cambria Math" w:hAnsi="Cambria Math" w:cs="Cambria Math"/>
          <w:noProof/>
          <w:kern w:val="0"/>
        </w:rPr>
        <w:t>‐</w:t>
      </w:r>
      <w:r w:rsidRPr="000F3A06">
        <w:rPr>
          <w:rFonts w:ascii="Aptos" w:hAnsi="Aptos" w:cs="Times New Roman"/>
          <w:noProof/>
          <w:kern w:val="0"/>
        </w:rPr>
        <w:t>term impact of economic downturn and loneliness on psychological distress: Triple crises of covid</w:t>
      </w:r>
      <w:r w:rsidRPr="000F3A06">
        <w:rPr>
          <w:rFonts w:ascii="Cambria Math" w:hAnsi="Cambria Math" w:cs="Cambria Math"/>
          <w:noProof/>
          <w:kern w:val="0"/>
        </w:rPr>
        <w:t>‐</w:t>
      </w:r>
      <w:r w:rsidRPr="000F3A06">
        <w:rPr>
          <w:rFonts w:ascii="Aptos" w:hAnsi="Aptos" w:cs="Times New Roman"/>
          <w:noProof/>
          <w:kern w:val="0"/>
        </w:rPr>
        <w:t>19 pandemic. J. Clin. Med. 10. https://doi.org/10.3390/jcm10194596</w:t>
      </w:r>
    </w:p>
    <w:p w14:paraId="641A020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Loneliness Taskforce, 2018. A Connected Island A Report from the Loneliness Taskforce.</w:t>
      </w:r>
    </w:p>
    <w:p w14:paraId="54CDADA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Luo, Y., Hawkley, L.C., Waite, L.J., Cacioppo, J.T., 2012. Loneliness, health, and mortality in old age. Loneliness, Heal. Mortal. old age 20, 6501–6504. https://doi.org/10.1016/j.socscimed.2011.11.028.Loneliness</w:t>
      </w:r>
    </w:p>
    <w:p w14:paraId="718C907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Mahon, N.E., Yarcheski, A., Yarcheski, T.J., Cannella, B.L., Hanks, M.M., 2006. A meta-analytic study of predictors for loneliness during adolescence. Nurs. Res. 55, 308–315.</w:t>
      </w:r>
    </w:p>
    <w:p w14:paraId="388F6EDD"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Mahoney, J., Fleischer, L., Bottura, G., Scrivens, K., 2024. Measuring social connectedness in OECD countries A scoping review. OECD. https://doi.org/https://doi.org/10.1787/f758bd20-en</w:t>
      </w:r>
    </w:p>
    <w:p w14:paraId="719CE65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 Hugh Power, J.E., Sjöberg, L., Kee, F., Kenny, R.A., Lawlor, B., 2019. Comparisons of the discrepancy between loneliness and social isolation across Ireland and Sweden: findings from TILDA and SNAC-K. Soc. Psychiatry Psychiatr. Epidemiol. 54, 1079–1088. https://doi.org/10.1007/s00127-019-01679-w</w:t>
      </w:r>
    </w:p>
    <w:p w14:paraId="2B3D20C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McClelland, H., Evans, J.J., Nowland, R., Ferguson, E., O’Connor, R.C., 2020. Loneliness as a predictor of suicidal ideation and behaviour: a systematic review and meta-analysis of prospective studies. J. Affect. Disord. 274, 880–896. https://doi.org/10.1016/j.jad.2020.05.004</w:t>
      </w:r>
    </w:p>
    <w:p w14:paraId="631E1F85"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Mccrory, A., Best, P., Maddock, A., 2022. “It’s just one big vicious circle”: young people’s experiences of highly visual social media and their mental health. Health Educ. Res. 37, 167–184. https://doi.org/10.1093/her/cyac010</w:t>
      </w:r>
    </w:p>
    <w:p w14:paraId="15AC0CE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McHugh Power, J., Swader, C., 2025. The Loneliest Nation in Europe? Ireland as a Case Study, and Implications for Policy. PublicPolicy.ie.</w:t>
      </w:r>
    </w:p>
    <w:p w14:paraId="0476EC3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McLean, L., Gaul, D., Penco, R., 2023. Perceived Social Support and Stress: a Study of 1st Year Students in Ireland. Int. J. Ment. Health Addict. 21, 2101–2121. https://doi.org/10.1007/s11469-021-00710-z</w:t>
      </w:r>
    </w:p>
    <w:p w14:paraId="61515AC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McLoughlin, A., Abdalla, A., Gonzalez, J., Freyne, A., Asghar, M., Ferguson, Y., 2023. Locked in and locked out: sequelae of a pandemic for distressed and vulnerable teenagers in Ireland: Post-COVID rise in psychiatry assessments of teenagers presenting to the emergency department out-of-hours at an adult Irish tertiary hospital. Ir. J. Med. Sci. 192, 1419–1426. https://doi.org/10.1007/s11845-022-03080-0</w:t>
      </w:r>
    </w:p>
    <w:p w14:paraId="0913E80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McQuaid, R.J., Cox, S.M.L., Ogunlana, A., Jaworska, N., 2021. The burden of loneliness: Implications of the social determinants of health during COVID-19. Psychiatry Res. 296, 113648. https://doi.org/10.1016/j.psychres.2020.113648</w:t>
      </w:r>
    </w:p>
    <w:p w14:paraId="5BB9DBD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Meta and Gallup, 2023. The Global State of Social Connections. Gallup.</w:t>
      </w:r>
    </w:p>
    <w:p w14:paraId="0433ABE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Mohan, G., 2023. Characteristics and behaviours of young people who meet online contacts face-to-face. Int. J. Adolesc. Youth 28. https://doi.org/10.1080/02673843.2023.2241524</w:t>
      </w:r>
    </w:p>
    <w:p w14:paraId="4D55E2B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Morrish, N., Medina-Lara, A., 2021. Does unemployment lead to greater levels of loneliness? A systematic review. Soc. Sci. Med. 287, 114339. https://doi.org/10.1016/j.socscimed.2021.114339</w:t>
      </w:r>
    </w:p>
    <w:p w14:paraId="72E6F8EA"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Murthy, V., 2017. Work and the Loneliness Epidemic. Harv. Bus. Rev. 9, 3–7.</w:t>
      </w:r>
    </w:p>
    <w:p w14:paraId="21E82DE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Nowland, R., Thomson, G., McNally, L., Smith, T., Whittaker, K., 2021. Experiencing loneliness in parenthood: a scoping review. Perspect. Public Health 141, 214–225. https://doi.org/10.1177/17579139211018243</w:t>
      </w:r>
    </w:p>
    <w:p w14:paraId="6336E64A"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O’Shea, E., Léime, Á.N., 2012. The impact of the Bealtaine arts programme on the quality of life, wellbeing and social interaction of older people in Ireland. Ageing Soc. 32, 851–872. https://doi.org/10.1017/S0144686X11000717</w:t>
      </w:r>
    </w:p>
    <w:p w14:paraId="4C2D952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OECD, 2021. All the lonely people: Education and loneliness, Trends Shaping Education Spotlights. oecd.</w:t>
      </w:r>
    </w:p>
    <w:p w14:paraId="0BBECA3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Okruszek, Ł., Aniszewska-Stańczuk, A., Piejka, A., Wiśniewska, M., Żurek, K., 2020. Safe but Lonely? Loneliness, Anxiety, and Depression Symptoms and COVID-19. Front. Psychol. 11, 1–11. https://doi.org/10.3389/fpsyg.2020.579181</w:t>
      </w:r>
    </w:p>
    <w:p w14:paraId="31604E7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Ozcelik, H., Barsade, S.G., 2018. No employee an island: Workplace loneliness and job performance. Acad. Manag. J. 61, 2343–2366. https://doi.org/10.5465/amj.2015.1066</w:t>
      </w:r>
    </w:p>
    <w:p w14:paraId="56ADE9D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Palgi, Y., Shrira, A., Ring, L., Bodner, E., Avidor, S., Bergman, Y., Cohen-Fridel, S., Keisari, S., Hoffman, Y., 2020. The loneliness pandemic: Loneliness and other concomitants of depression, anxiety and their comorbidity during the COVID-19 outbreak. J. Affect. Disord. 109–111. https://doi.org/10.1332/14786737Y2024D000000014</w:t>
      </w:r>
    </w:p>
    <w:p w14:paraId="68F0BE0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Park, C., Majeed, A., Gill, H., Tamura, J., Ho, R.C., Mansur, R.B., Nasri, F., Lee, Y., Rosenblat, J.D., Wong, E., McIntyre, R.S., 2020. The Effect of Loneliness on Distinct Health Outcomes: A Comprehensive Review and Meta-Analysis. Psychiatry Res. 294, 113514. https://doi.org/10.1016/j.psychres.2020.113514</w:t>
      </w:r>
    </w:p>
    <w:p w14:paraId="76B8474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Peplau, L.A., Perlman, D., 1982. Perspectives on Loneliness, Loneliness: A Sourcebook of Current Theory, Research and Therapy. John Wiley and Sons, New York.</w:t>
      </w:r>
    </w:p>
    <w:p w14:paraId="1694267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Pinquart, M., Sörensen, S., 2001. Influences on Loneliness in Older Adults: A Meta-Analysis. Basic Appl. Soc. Psych. 23, 245–266.</w:t>
      </w:r>
    </w:p>
    <w:p w14:paraId="4C95A19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Pittman, M., Reich, B., 2016. Social media and loneliness: Why an Instagram picture may be worth more than a thousand Twitter words. Comput. Human Behav. 62, 155–167. https://doi.org/10.1016/j.chb.2016.03.084</w:t>
      </w:r>
    </w:p>
    <w:p w14:paraId="2364F453"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Portela, M., Neira, I., Salinas-Jiménez, M.D.M., 2013. Social capital and subjective wellbeing in Europe: A new approach on social capital. Soc. Indic. Res. 114, 493–511. https://doi.org/10.1007/s</w:t>
      </w:r>
    </w:p>
    <w:p w14:paraId="72FDDF2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Primack, B.A., Shensa, A., Sidani, J.E., Whaite, E.O., Lin, L. yi, Rosen, D., Colditz, J.B., Radovic, A., Miller, E., 2017. Social Media Use and Perceived Social Isolation Among Young Adults in the U.S. Am. J. Prev. Med. 53, 1–8.</w:t>
      </w:r>
    </w:p>
    <w:p w14:paraId="1066D48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Putnam, R.D., 2000. Bowling alone: The collapse and revival of American community. Simon &amp; Schuster, New York.</w:t>
      </w:r>
    </w:p>
    <w:p w14:paraId="53F508F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Russell, D.W., 1996. UCLA Loneliness Scale (Version 3): Reliability, validity, and factor structure. J. Pers. Assess.</w:t>
      </w:r>
    </w:p>
    <w:p w14:paraId="7A654969"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Salari, N., Razavizadeh, S., Abdolmaleki, A., Zarei, H., Daneshkhah, A. Mohammadi, M., 2025. Global prevalence of loneliness in immigrants: A systematic review and meta-analysis. Asian J. Psychiatr. https://doi.org/https://doi.org/10.1016/j.ajp.2025.104381</w:t>
      </w:r>
    </w:p>
    <w:p w14:paraId="1ABE3A0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Salazar de Pablo, G., De Micheli, A., Nieman, D.H., Correll, C.U., Kessing, L.V., Pfennig, A., Bechdolf, A., Borgwardt, S., Arango, C., van Amelsvoort, T., Vieta, E., Solmi, M., Oliver, D., Catalan, A., Verdino, V., Di Maggio, L., Bonoldi, I., Vaquerizo-Serrano, J., Baccaredda Boy, O., Provenzani, U., Ruzzi, F., Calorio, F., Nosari, G., Di Marco, B., Famularo, I., Molteni, S., Filosi, E., Mensi, M., Balottin, U., Politi, P., Shin, J. Il, Fusar-Poli, P., 2020. Universal and selective interventions to promote good mental health in young people: Systematic review and meta-analysis. Eur. Neuropsychopharmacol. 41, 28–39. https://doi.org/10.1016/j.euroneuro.2020.10.007</w:t>
      </w:r>
    </w:p>
    <w:p w14:paraId="0EC411C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Schnepf, S.V., D’Hombres, B., Mauri, C., 2024. Loneliness in Europe: Determinants, Risks and Interventions. European Commission, Springer.</w:t>
      </w:r>
    </w:p>
    <w:p w14:paraId="12E9E75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Siva, N., 2020. Loneliness in children and young people in the UK. Lancet Child Adolesc. Heal. 4, 567–568. https://doi.org/10.1016/S2352-4642(20)30213-3</w:t>
      </w:r>
    </w:p>
    <w:p w14:paraId="325CC05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Smyth, E., Murray, A., 2022. The Effect of Pandemic-Related Economic Disruption on Young Adolescents in Ireland. Children 9. https://doi.org/10.3390/children9071037</w:t>
      </w:r>
    </w:p>
    <w:p w14:paraId="2B4C5567"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Solmi, M., Veronese, N., Galvano, D., Favaro, A., Ostinelli, E.G., Noventa, V., Favaretto, E., Tudor, F., Finessi, M., Shin, J. Il, Smith, L., Koyanagi, A., Cester, A., Bolzetta, F., Cotroneo, A., Maggi, S., Demurtas, J., De Leo, D., Trabucchi, M., 2020. Factors Associated With Loneliness: An Umbrella Review Of Observational Studies. J. Affect. Disord. 271, 131–138. https://doi.org/10.1016/j.jad.2020.03.075</w:t>
      </w:r>
    </w:p>
    <w:p w14:paraId="2A750AF0"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Surkalim, D.L., Luo, M., Eres, R., Gebel, K., Van Buskirk, J., Bauman, A., Ding, D., 2022. The prevalence of loneliness across 113 countries: Systematic review and meta-analysis. BMJ 376, 1–17. https://doi.org/10.1136/bmj-2021-067068</w:t>
      </w:r>
    </w:p>
    <w:p w14:paraId="67316DB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Swader, C.S., Moraru, A.V., 2022. Social Infrastructure and the Alleviation of Loneliness in Europe. Kolner Z. Soz. Sozpsychol. 75, 387–414. https://doi.org/10.1007/s11577-023-00883-6</w:t>
      </w:r>
    </w:p>
    <w:p w14:paraId="6E4A8E65"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Taylor, S.E., Klein, L.C., Lewis, B.P., Gruenewald, T.L., Gurung, R.A.R., Updegraff, J.A., 2000. Biobehavioral responses to stress in females: Tend-and-befriend, not fight-or-flight. Psychol. Rev. 107, 411–429. https://doi.org/10.1037/0033-295X.107.3.411</w:t>
      </w:r>
    </w:p>
    <w:p w14:paraId="3D45AA2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Ten Have, M., Van Bon-Martens, M.J.H., Schouten, F., Van Dorsselaer, S., Shields-Zeeman, L., Luik, A.I., 2024. Validity of the five-item mental health inventory for screening current mood and anxiety disorders in the general population. Int. J. Methods Psychiatr. Res. 33, 1–10.</w:t>
      </w:r>
    </w:p>
    <w:p w14:paraId="349CB47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Theeke, L.A., 2009. Predictors of Loneliness in U.S. Adults Over Age Sixty-Five. Arch. Psychiatr. Nurs. 23, 387–396. https://doi.org/10.1016/j.apnu.2008.11.002</w:t>
      </w:r>
    </w:p>
    <w:p w14:paraId="7AC50CF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Twenge, J.M., Haidt, J., Blake, A.B., McAllister, C., Lemon, H., Le Roy, A., 2021. Worldwide increases in adolescent loneliness. J. Adolesc. 93, 257–269. https://doi.org/10.1016/j.adolescence.2021.06.006</w:t>
      </w:r>
    </w:p>
    <w:p w14:paraId="748EDBE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US Surgeon General, 2023a. Our epidemic of loneliness and isolation: the U.S. surgeon general’s advisory on the healing effects of social connection and community. Office of the U.S. Surgeon General.</w:t>
      </w:r>
    </w:p>
    <w:p w14:paraId="2797497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US Surgeon General, 2023b. Social Media and Youth Mental Health: The U.S. Surgeon General’s Advisory, Office of the Surgeon General. Office of the U.S. Surgeon General.</w:t>
      </w:r>
    </w:p>
    <w:p w14:paraId="71E95F1F"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van den Broek, T., Lam, J., Potente, C., 2024. Do middle-aged and older people underreport loneliness? experimental evidence from the Netherlands. Eur. J. Ageing 21. https://doi.org/10.1007/s10433-024-00826-w</w:t>
      </w:r>
    </w:p>
    <w:p w14:paraId="20F317C2"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Van Lente, E., Barry, M.M., Molcho, M., Morgan, K., Watson, D., Harrington, J., McGee, H., 2012. Measuring population mental health and social well-being. Int. J. Public Health 57, 421–430. https://doi.org/10.1007/s00038-011-0317-x</w:t>
      </w:r>
    </w:p>
    <w:p w14:paraId="28E32BBE"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Vuorre, M., Przybylski, A.K., 2024. Global Well-Being and Mental Health in the Internet Age. Clin. Psychol. Sci. 12, 917–935. https://doi.org/10.1177/21677026231207791</w:t>
      </w:r>
    </w:p>
    <w:p w14:paraId="2E11EFB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Waldron, R., 2021. Generation Rent and housing precarity in ‘post crisis’ Ireland. Hous. Stud. 0, 1–25.</w:t>
      </w:r>
    </w:p>
    <w:p w14:paraId="012520B6"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Wang, J., Mann, F., Lloyd-Evans, B., Ma, R., Johnson, S., 2018. Associations between loneliness and perceived social support and outcomes of mental health problems: A systematic review. BMC Psychiatry 18, 1–16. https://doi.org/10.1186/s12888-018-1736-5</w:t>
      </w:r>
    </w:p>
    <w:p w14:paraId="08649D9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Wang, S., Li, L.Z., Coutts, A., 2022. National survey of mental health and life satisfaction of gig workers: the role of loneliness and financial precarity. BMJ Open 12, 1–8. https://doi.org/10.1136/bmjopen-2022-066389</w:t>
      </w:r>
    </w:p>
    <w:p w14:paraId="16FD870A"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Ward, C., 1968. Living in a New Community: A Summary of Results of a Social Survey. Stat. Soc. Inq. Soc. Irel.</w:t>
      </w:r>
    </w:p>
    <w:p w14:paraId="173254ED"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Ward, M., Briggs, R., McGarrigle, C.A., De Looze, C., O’Halloran, A.M., Kenny, R.A., 2023. The bi-directional association between loneliness and depression among older adults from before to during the COVID-19 pandemic. Int. J. Geriatr. Psychiatry 38. https://doi.org/10.1002/gps.5856</w:t>
      </w:r>
    </w:p>
    <w:p w14:paraId="00F0D278"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Ward, M., Layte, R., Kenny, R.A., 2019. Loneliness, social isolation, and their discordance among older adults. Trinity College, Dublin.</w:t>
      </w:r>
    </w:p>
    <w:p w14:paraId="31C6F091"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Ware Jr., E., 1999. SF-36 Health Survey, in: The Use of Psychological Testing for Treatment Planning and Outcomes Assessment. pp. 1227–1246.</w:t>
      </w:r>
    </w:p>
    <w:p w14:paraId="3807B7E4"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Woodward, J., Frank, B., 1988. Rural Adolescent Loneliness and Coping Strategies. Adolescence 23, 559–565.</w:t>
      </w:r>
    </w:p>
    <w:p w14:paraId="1B267EEC" w14:textId="77777777" w:rsidR="000F3A06" w:rsidRPr="000F3A06" w:rsidRDefault="000F3A06" w:rsidP="000F3A06">
      <w:pPr>
        <w:widowControl w:val="0"/>
        <w:autoSpaceDE w:val="0"/>
        <w:autoSpaceDN w:val="0"/>
        <w:adjustRightInd w:val="0"/>
        <w:spacing w:line="240" w:lineRule="auto"/>
        <w:ind w:left="480" w:hanging="480"/>
        <w:rPr>
          <w:rFonts w:ascii="Aptos" w:hAnsi="Aptos" w:cs="Times New Roman"/>
          <w:noProof/>
          <w:kern w:val="0"/>
        </w:rPr>
      </w:pPr>
      <w:r w:rsidRPr="000F3A06">
        <w:rPr>
          <w:rFonts w:ascii="Aptos" w:hAnsi="Aptos" w:cs="Times New Roman"/>
          <w:noProof/>
          <w:kern w:val="0"/>
        </w:rPr>
        <w:t>World Health Organization, 2023. WHO Commission on Social Connectedness [WWW Document]. URL https://www.who.int/groups/commission-on-social-connection (accessed 2.5.25).</w:t>
      </w:r>
    </w:p>
    <w:p w14:paraId="2EDFD616" w14:textId="77777777" w:rsidR="000F3A06" w:rsidRPr="000F3A06" w:rsidRDefault="000F3A06" w:rsidP="000F3A06">
      <w:pPr>
        <w:widowControl w:val="0"/>
        <w:autoSpaceDE w:val="0"/>
        <w:autoSpaceDN w:val="0"/>
        <w:adjustRightInd w:val="0"/>
        <w:spacing w:line="240" w:lineRule="auto"/>
        <w:ind w:left="480" w:hanging="480"/>
        <w:rPr>
          <w:rFonts w:ascii="Aptos" w:hAnsi="Aptos"/>
          <w:noProof/>
        </w:rPr>
      </w:pPr>
      <w:r w:rsidRPr="000F3A06">
        <w:rPr>
          <w:rFonts w:ascii="Aptos" w:hAnsi="Aptos" w:cs="Times New Roman"/>
          <w:noProof/>
          <w:kern w:val="0"/>
        </w:rPr>
        <w:t>Zagic, D., Wuthrich, V.M., Rapee, R.M., Wolters, N., 2022. Interventions to improve social connections: a systematic review and meta-analysis. Soc. Psychiatry Psychiatr. Epidemiol. 57, 885–906. https://doi.org/10.1007/s00127-021-02191-w</w:t>
      </w:r>
    </w:p>
    <w:p w14:paraId="237C0F63" w14:textId="56D5FBB5" w:rsidR="00A24B2D" w:rsidRDefault="00BB678D" w:rsidP="00921FEF">
      <w:r>
        <w:fldChar w:fldCharType="end"/>
      </w:r>
    </w:p>
    <w:p w14:paraId="6A2622F9" w14:textId="77777777" w:rsidR="00A24B2D" w:rsidRDefault="00A24B2D">
      <w:r>
        <w:br w:type="page"/>
      </w:r>
    </w:p>
    <w:p w14:paraId="7A99E991" w14:textId="7851C167" w:rsidR="0097622A" w:rsidRPr="00B43878" w:rsidRDefault="0097622A" w:rsidP="00B43878">
      <w:pPr>
        <w:jc w:val="center"/>
        <w:rPr>
          <w:b/>
          <w:bCs/>
          <w:sz w:val="36"/>
          <w:szCs w:val="36"/>
        </w:rPr>
        <w:sectPr w:rsidR="0097622A" w:rsidRPr="00B43878">
          <w:footerReference w:type="default" r:id="rId15"/>
          <w:pgSz w:w="11906" w:h="16838"/>
          <w:pgMar w:top="1440" w:right="1440" w:bottom="1440" w:left="1440" w:header="708" w:footer="708" w:gutter="0"/>
          <w:cols w:space="708"/>
          <w:docGrid w:linePitch="360"/>
        </w:sectPr>
      </w:pPr>
      <w:r w:rsidRPr="00B43878">
        <w:rPr>
          <w:b/>
          <w:bCs/>
          <w:sz w:val="36"/>
          <w:szCs w:val="36"/>
        </w:rPr>
        <w:t>Appendix</w:t>
      </w:r>
    </w:p>
    <w:p w14:paraId="176C6155" w14:textId="6F20B44D" w:rsidR="0097622A" w:rsidRDefault="0097622A"/>
    <w:p w14:paraId="5AF15924" w14:textId="071AC46D" w:rsidR="0097622A" w:rsidRPr="00660132" w:rsidRDefault="0097622A">
      <w:pPr>
        <w:rPr>
          <w:b/>
          <w:bCs/>
        </w:rPr>
      </w:pPr>
      <w:r w:rsidRPr="00660132">
        <w:rPr>
          <w:b/>
          <w:bCs/>
        </w:rPr>
        <w:t xml:space="preserve">Table A-1: </w:t>
      </w:r>
      <w:r w:rsidR="00B71BB2" w:rsidRPr="00660132">
        <w:rPr>
          <w:b/>
          <w:bCs/>
        </w:rPr>
        <w:t>Pairwise c</w:t>
      </w:r>
      <w:r w:rsidR="00206F64" w:rsidRPr="00660132">
        <w:rPr>
          <w:b/>
          <w:bCs/>
        </w:rPr>
        <w:t>orrelations</w:t>
      </w:r>
      <w:r w:rsidR="000D589B">
        <w:rPr>
          <w:b/>
          <w:bCs/>
        </w:rPr>
        <w:t>, 20</w:t>
      </w:r>
      <w:r w:rsidR="002461E0">
        <w:rPr>
          <w:b/>
          <w:bCs/>
        </w:rPr>
        <w:t>21</w:t>
      </w:r>
      <w:r w:rsidR="00B43878">
        <w:rPr>
          <w:b/>
          <w:bCs/>
        </w:rPr>
        <w:t xml:space="preserve"> &amp; 20</w:t>
      </w:r>
      <w:r w:rsidR="000D589B">
        <w:rPr>
          <w:b/>
          <w:bCs/>
        </w:rPr>
        <w:t>23</w:t>
      </w:r>
      <w:r w:rsidRPr="00660132">
        <w:rPr>
          <w:b/>
          <w:bCs/>
        </w:rPr>
        <w:t xml:space="preserve"> </w:t>
      </w:r>
    </w:p>
    <w:tbl>
      <w:tblPr>
        <w:tblStyle w:val="TableGrid"/>
        <w:tblW w:w="15026"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70"/>
        <w:gridCol w:w="871"/>
        <w:gridCol w:w="871"/>
        <w:gridCol w:w="871"/>
        <w:gridCol w:w="870"/>
        <w:gridCol w:w="871"/>
        <w:gridCol w:w="871"/>
        <w:gridCol w:w="871"/>
        <w:gridCol w:w="871"/>
        <w:gridCol w:w="870"/>
        <w:gridCol w:w="871"/>
        <w:gridCol w:w="871"/>
        <w:gridCol w:w="871"/>
        <w:gridCol w:w="871"/>
        <w:gridCol w:w="850"/>
        <w:gridCol w:w="709"/>
      </w:tblGrid>
      <w:tr w:rsidR="00A201A5" w:rsidRPr="00380DA5" w14:paraId="5E4770B5" w14:textId="449BF307" w:rsidTr="000C34D0">
        <w:tc>
          <w:tcPr>
            <w:tcW w:w="1276" w:type="dxa"/>
            <w:tcBorders>
              <w:top w:val="single" w:sz="4" w:space="0" w:color="auto"/>
              <w:bottom w:val="single" w:sz="4" w:space="0" w:color="auto"/>
              <w:right w:val="single" w:sz="4" w:space="0" w:color="auto"/>
            </w:tcBorders>
            <w:vAlign w:val="center"/>
          </w:tcPr>
          <w:p w14:paraId="13610101" w14:textId="77777777" w:rsidR="00386AB5" w:rsidRPr="00B01254" w:rsidRDefault="00386AB5" w:rsidP="000121A5">
            <w:pPr>
              <w:jc w:val="center"/>
              <w:rPr>
                <w:sz w:val="13"/>
                <w:szCs w:val="13"/>
              </w:rPr>
            </w:pPr>
          </w:p>
        </w:tc>
        <w:tc>
          <w:tcPr>
            <w:tcW w:w="870" w:type="dxa"/>
            <w:tcBorders>
              <w:top w:val="single" w:sz="4" w:space="0" w:color="auto"/>
              <w:left w:val="single" w:sz="4" w:space="0" w:color="auto"/>
              <w:bottom w:val="single" w:sz="4" w:space="0" w:color="auto"/>
            </w:tcBorders>
            <w:vAlign w:val="center"/>
          </w:tcPr>
          <w:p w14:paraId="272E3C1D" w14:textId="4A860B01" w:rsidR="00386AB5" w:rsidRDefault="00386AB5" w:rsidP="000121A5">
            <w:pPr>
              <w:jc w:val="center"/>
              <w:rPr>
                <w:sz w:val="13"/>
                <w:szCs w:val="13"/>
              </w:rPr>
            </w:pPr>
            <w:bookmarkStart w:id="0" w:name="_Hlk190440563"/>
            <w:r w:rsidRPr="00B01254">
              <w:rPr>
                <w:sz w:val="13"/>
                <w:szCs w:val="13"/>
              </w:rPr>
              <w:t>Often/</w:t>
            </w:r>
          </w:p>
          <w:p w14:paraId="17FC47CE" w14:textId="364599E8" w:rsidR="00386AB5" w:rsidRPr="00B01254" w:rsidRDefault="00386AB5" w:rsidP="000121A5">
            <w:pPr>
              <w:jc w:val="center"/>
              <w:rPr>
                <w:sz w:val="13"/>
                <w:szCs w:val="13"/>
              </w:rPr>
            </w:pPr>
            <w:r w:rsidRPr="00B01254">
              <w:rPr>
                <w:sz w:val="13"/>
                <w:szCs w:val="13"/>
              </w:rPr>
              <w:t>always lonely</w:t>
            </w:r>
          </w:p>
        </w:tc>
        <w:tc>
          <w:tcPr>
            <w:tcW w:w="871" w:type="dxa"/>
            <w:tcBorders>
              <w:top w:val="single" w:sz="4" w:space="0" w:color="auto"/>
              <w:bottom w:val="single" w:sz="4" w:space="0" w:color="auto"/>
            </w:tcBorders>
            <w:vAlign w:val="center"/>
          </w:tcPr>
          <w:p w14:paraId="24FB3618" w14:textId="77777777" w:rsidR="00386AB5" w:rsidRDefault="00386AB5" w:rsidP="000121A5">
            <w:pPr>
              <w:jc w:val="center"/>
              <w:rPr>
                <w:sz w:val="13"/>
                <w:szCs w:val="13"/>
              </w:rPr>
            </w:pPr>
            <w:r w:rsidRPr="00B01254">
              <w:rPr>
                <w:sz w:val="13"/>
                <w:szCs w:val="13"/>
              </w:rPr>
              <w:t>Sometime</w:t>
            </w:r>
            <w:r>
              <w:rPr>
                <w:sz w:val="13"/>
                <w:szCs w:val="13"/>
              </w:rPr>
              <w:t>s</w:t>
            </w:r>
            <w:r w:rsidRPr="00B01254">
              <w:rPr>
                <w:sz w:val="13"/>
                <w:szCs w:val="13"/>
              </w:rPr>
              <w:t>/often/</w:t>
            </w:r>
          </w:p>
          <w:p w14:paraId="445B6BB3" w14:textId="33C4EE6A" w:rsidR="00386AB5" w:rsidRPr="00B01254" w:rsidRDefault="00386AB5" w:rsidP="000121A5">
            <w:pPr>
              <w:jc w:val="center"/>
              <w:rPr>
                <w:sz w:val="13"/>
                <w:szCs w:val="13"/>
              </w:rPr>
            </w:pPr>
            <w:r w:rsidRPr="00B01254">
              <w:rPr>
                <w:sz w:val="13"/>
                <w:szCs w:val="13"/>
              </w:rPr>
              <w:t>always lonely</w:t>
            </w:r>
          </w:p>
        </w:tc>
        <w:tc>
          <w:tcPr>
            <w:tcW w:w="871" w:type="dxa"/>
            <w:tcBorders>
              <w:top w:val="single" w:sz="4" w:space="0" w:color="auto"/>
              <w:bottom w:val="single" w:sz="4" w:space="0" w:color="auto"/>
            </w:tcBorders>
            <w:vAlign w:val="center"/>
          </w:tcPr>
          <w:p w14:paraId="023F95E9" w14:textId="091326F6" w:rsidR="00386AB5" w:rsidRPr="00B01254" w:rsidRDefault="00386AB5" w:rsidP="000121A5">
            <w:pPr>
              <w:jc w:val="center"/>
              <w:rPr>
                <w:sz w:val="13"/>
                <w:szCs w:val="13"/>
              </w:rPr>
            </w:pPr>
            <w:r w:rsidRPr="00B01254">
              <w:rPr>
                <w:sz w:val="13"/>
                <w:szCs w:val="13"/>
              </w:rPr>
              <w:t>Probable mental health problem</w:t>
            </w:r>
          </w:p>
        </w:tc>
        <w:tc>
          <w:tcPr>
            <w:tcW w:w="871" w:type="dxa"/>
            <w:tcBorders>
              <w:top w:val="single" w:sz="4" w:space="0" w:color="auto"/>
              <w:bottom w:val="single" w:sz="4" w:space="0" w:color="auto"/>
            </w:tcBorders>
            <w:vAlign w:val="center"/>
          </w:tcPr>
          <w:p w14:paraId="5C66C3FD" w14:textId="17FEF80C" w:rsidR="00386AB5" w:rsidRPr="00B01254" w:rsidRDefault="00386AB5" w:rsidP="000121A5">
            <w:pPr>
              <w:jc w:val="center"/>
              <w:rPr>
                <w:sz w:val="13"/>
                <w:szCs w:val="13"/>
              </w:rPr>
            </w:pPr>
            <w:r w:rsidRPr="00B01254">
              <w:rPr>
                <w:sz w:val="13"/>
                <w:szCs w:val="13"/>
              </w:rPr>
              <w:t>Good quality of life</w:t>
            </w:r>
          </w:p>
        </w:tc>
        <w:tc>
          <w:tcPr>
            <w:tcW w:w="870" w:type="dxa"/>
            <w:tcBorders>
              <w:top w:val="single" w:sz="4" w:space="0" w:color="auto"/>
              <w:bottom w:val="single" w:sz="4" w:space="0" w:color="auto"/>
            </w:tcBorders>
            <w:vAlign w:val="center"/>
          </w:tcPr>
          <w:p w14:paraId="6D79B187" w14:textId="3243E7E8" w:rsidR="00386AB5" w:rsidRPr="00B01254" w:rsidRDefault="00386AB5" w:rsidP="000121A5">
            <w:pPr>
              <w:jc w:val="center"/>
              <w:rPr>
                <w:sz w:val="13"/>
                <w:szCs w:val="13"/>
              </w:rPr>
            </w:pPr>
            <w:r w:rsidRPr="00B01254">
              <w:rPr>
                <w:sz w:val="13"/>
                <w:szCs w:val="13"/>
              </w:rPr>
              <w:t>Female</w:t>
            </w:r>
          </w:p>
        </w:tc>
        <w:tc>
          <w:tcPr>
            <w:tcW w:w="871" w:type="dxa"/>
            <w:tcBorders>
              <w:top w:val="single" w:sz="4" w:space="0" w:color="auto"/>
              <w:bottom w:val="single" w:sz="4" w:space="0" w:color="auto"/>
            </w:tcBorders>
            <w:vAlign w:val="center"/>
          </w:tcPr>
          <w:p w14:paraId="709C791B" w14:textId="54122B6C" w:rsidR="00386AB5" w:rsidRPr="00B01254" w:rsidRDefault="00386AB5" w:rsidP="000121A5">
            <w:pPr>
              <w:jc w:val="center"/>
              <w:rPr>
                <w:sz w:val="13"/>
                <w:szCs w:val="13"/>
              </w:rPr>
            </w:pPr>
            <w:r w:rsidRPr="00B01254">
              <w:rPr>
                <w:sz w:val="13"/>
                <w:szCs w:val="13"/>
              </w:rPr>
              <w:t>Age</w:t>
            </w:r>
          </w:p>
        </w:tc>
        <w:tc>
          <w:tcPr>
            <w:tcW w:w="871" w:type="dxa"/>
            <w:tcBorders>
              <w:top w:val="single" w:sz="4" w:space="0" w:color="auto"/>
              <w:bottom w:val="single" w:sz="4" w:space="0" w:color="auto"/>
            </w:tcBorders>
            <w:vAlign w:val="center"/>
          </w:tcPr>
          <w:p w14:paraId="3DDF04C2" w14:textId="243F8173" w:rsidR="00386AB5" w:rsidRPr="00B01254" w:rsidRDefault="00386AB5" w:rsidP="000121A5">
            <w:pPr>
              <w:jc w:val="center"/>
              <w:rPr>
                <w:sz w:val="13"/>
                <w:szCs w:val="13"/>
              </w:rPr>
            </w:pPr>
            <w:r w:rsidRPr="00B01254">
              <w:rPr>
                <w:sz w:val="13"/>
                <w:szCs w:val="13"/>
              </w:rPr>
              <w:t>Good health</w:t>
            </w:r>
          </w:p>
        </w:tc>
        <w:tc>
          <w:tcPr>
            <w:tcW w:w="871" w:type="dxa"/>
            <w:tcBorders>
              <w:top w:val="single" w:sz="4" w:space="0" w:color="auto"/>
              <w:bottom w:val="single" w:sz="4" w:space="0" w:color="auto"/>
            </w:tcBorders>
            <w:vAlign w:val="center"/>
          </w:tcPr>
          <w:p w14:paraId="2FC65B5F" w14:textId="28AE093A" w:rsidR="00386AB5" w:rsidRPr="00B01254" w:rsidRDefault="00386AB5" w:rsidP="000121A5">
            <w:pPr>
              <w:jc w:val="center"/>
              <w:rPr>
                <w:sz w:val="13"/>
                <w:szCs w:val="13"/>
              </w:rPr>
            </w:pPr>
            <w:r w:rsidRPr="00B01254">
              <w:rPr>
                <w:sz w:val="13"/>
                <w:szCs w:val="13"/>
              </w:rPr>
              <w:t>Disability</w:t>
            </w:r>
          </w:p>
        </w:tc>
        <w:tc>
          <w:tcPr>
            <w:tcW w:w="871" w:type="dxa"/>
            <w:tcBorders>
              <w:top w:val="single" w:sz="4" w:space="0" w:color="auto"/>
              <w:bottom w:val="single" w:sz="4" w:space="0" w:color="auto"/>
            </w:tcBorders>
            <w:vAlign w:val="center"/>
          </w:tcPr>
          <w:p w14:paraId="67AC1DA2" w14:textId="1D77E010" w:rsidR="00386AB5" w:rsidRPr="00B01254" w:rsidRDefault="00386AB5" w:rsidP="000121A5">
            <w:pPr>
              <w:jc w:val="center"/>
              <w:rPr>
                <w:sz w:val="13"/>
                <w:szCs w:val="13"/>
              </w:rPr>
            </w:pPr>
            <w:r w:rsidRPr="00B01254">
              <w:rPr>
                <w:sz w:val="13"/>
                <w:szCs w:val="13"/>
              </w:rPr>
              <w:t>Not born in Ireland</w:t>
            </w:r>
          </w:p>
        </w:tc>
        <w:tc>
          <w:tcPr>
            <w:tcW w:w="870" w:type="dxa"/>
            <w:tcBorders>
              <w:top w:val="single" w:sz="4" w:space="0" w:color="auto"/>
              <w:bottom w:val="single" w:sz="4" w:space="0" w:color="auto"/>
            </w:tcBorders>
            <w:vAlign w:val="center"/>
          </w:tcPr>
          <w:p w14:paraId="50F9ACB0" w14:textId="39461248" w:rsidR="00386AB5" w:rsidRPr="00B01254" w:rsidRDefault="00386AB5" w:rsidP="000121A5">
            <w:pPr>
              <w:jc w:val="center"/>
              <w:rPr>
                <w:sz w:val="13"/>
                <w:szCs w:val="13"/>
              </w:rPr>
            </w:pPr>
            <w:r w:rsidRPr="00B01254">
              <w:rPr>
                <w:sz w:val="13"/>
                <w:szCs w:val="13"/>
              </w:rPr>
              <w:t>Marital status</w:t>
            </w:r>
          </w:p>
        </w:tc>
        <w:tc>
          <w:tcPr>
            <w:tcW w:w="871" w:type="dxa"/>
            <w:tcBorders>
              <w:top w:val="single" w:sz="4" w:space="0" w:color="auto"/>
              <w:bottom w:val="single" w:sz="4" w:space="0" w:color="auto"/>
            </w:tcBorders>
            <w:vAlign w:val="center"/>
          </w:tcPr>
          <w:p w14:paraId="1562B7CD" w14:textId="04CD571B" w:rsidR="00386AB5" w:rsidRPr="00B01254" w:rsidRDefault="00386AB5" w:rsidP="000121A5">
            <w:pPr>
              <w:jc w:val="center"/>
              <w:rPr>
                <w:sz w:val="13"/>
                <w:szCs w:val="13"/>
              </w:rPr>
            </w:pPr>
            <w:r w:rsidRPr="00B01254">
              <w:rPr>
                <w:sz w:val="13"/>
                <w:szCs w:val="13"/>
              </w:rPr>
              <w:t>Has children under 18</w:t>
            </w:r>
          </w:p>
        </w:tc>
        <w:tc>
          <w:tcPr>
            <w:tcW w:w="871" w:type="dxa"/>
            <w:tcBorders>
              <w:top w:val="single" w:sz="4" w:space="0" w:color="auto"/>
              <w:bottom w:val="single" w:sz="4" w:space="0" w:color="auto"/>
            </w:tcBorders>
            <w:vAlign w:val="center"/>
          </w:tcPr>
          <w:p w14:paraId="0732017A" w14:textId="795F8654" w:rsidR="00386AB5" w:rsidRPr="00B01254" w:rsidRDefault="00386AB5" w:rsidP="000121A5">
            <w:pPr>
              <w:jc w:val="center"/>
              <w:rPr>
                <w:sz w:val="13"/>
                <w:szCs w:val="13"/>
              </w:rPr>
            </w:pPr>
            <w:r w:rsidRPr="00B01254">
              <w:rPr>
                <w:sz w:val="13"/>
                <w:szCs w:val="13"/>
              </w:rPr>
              <w:t>Employment status</w:t>
            </w:r>
          </w:p>
        </w:tc>
        <w:tc>
          <w:tcPr>
            <w:tcW w:w="871" w:type="dxa"/>
            <w:tcBorders>
              <w:top w:val="single" w:sz="4" w:space="0" w:color="auto"/>
              <w:bottom w:val="single" w:sz="4" w:space="0" w:color="auto"/>
            </w:tcBorders>
            <w:vAlign w:val="center"/>
          </w:tcPr>
          <w:p w14:paraId="246F5C2B" w14:textId="00BC19D6" w:rsidR="00386AB5" w:rsidRPr="00B01254" w:rsidRDefault="00386AB5" w:rsidP="000121A5">
            <w:pPr>
              <w:jc w:val="center"/>
              <w:rPr>
                <w:sz w:val="13"/>
                <w:szCs w:val="13"/>
              </w:rPr>
            </w:pPr>
            <w:r w:rsidRPr="00B01254">
              <w:rPr>
                <w:sz w:val="13"/>
                <w:szCs w:val="13"/>
              </w:rPr>
              <w:t>Region</w:t>
            </w:r>
          </w:p>
        </w:tc>
        <w:tc>
          <w:tcPr>
            <w:tcW w:w="871" w:type="dxa"/>
            <w:tcBorders>
              <w:top w:val="single" w:sz="4" w:space="0" w:color="auto"/>
              <w:bottom w:val="single" w:sz="4" w:space="0" w:color="auto"/>
            </w:tcBorders>
            <w:vAlign w:val="center"/>
          </w:tcPr>
          <w:p w14:paraId="5F2FB5F6" w14:textId="0F0832F6" w:rsidR="00386AB5" w:rsidRPr="00B01254" w:rsidRDefault="00386AB5" w:rsidP="000121A5">
            <w:pPr>
              <w:jc w:val="center"/>
              <w:rPr>
                <w:sz w:val="13"/>
                <w:szCs w:val="13"/>
              </w:rPr>
            </w:pPr>
            <w:r w:rsidRPr="00B01254">
              <w:rPr>
                <w:sz w:val="13"/>
                <w:szCs w:val="13"/>
              </w:rPr>
              <w:t>Education</w:t>
            </w:r>
          </w:p>
        </w:tc>
        <w:tc>
          <w:tcPr>
            <w:tcW w:w="850" w:type="dxa"/>
            <w:tcBorders>
              <w:top w:val="single" w:sz="4" w:space="0" w:color="auto"/>
              <w:bottom w:val="single" w:sz="4" w:space="0" w:color="auto"/>
            </w:tcBorders>
            <w:vAlign w:val="center"/>
          </w:tcPr>
          <w:p w14:paraId="44647E20" w14:textId="0B337ECC" w:rsidR="00386AB5" w:rsidRPr="00B01254" w:rsidRDefault="00386AB5" w:rsidP="000121A5">
            <w:pPr>
              <w:jc w:val="center"/>
              <w:rPr>
                <w:sz w:val="13"/>
                <w:szCs w:val="13"/>
              </w:rPr>
            </w:pPr>
            <w:r w:rsidRPr="00B01254">
              <w:rPr>
                <w:sz w:val="13"/>
                <w:szCs w:val="13"/>
              </w:rPr>
              <w:t xml:space="preserve">Social </w:t>
            </w:r>
            <w:r>
              <w:rPr>
                <w:sz w:val="13"/>
                <w:szCs w:val="13"/>
              </w:rPr>
              <w:t>group</w:t>
            </w:r>
            <w:r w:rsidRPr="00B01254">
              <w:rPr>
                <w:sz w:val="13"/>
                <w:szCs w:val="13"/>
              </w:rPr>
              <w:t xml:space="preserve"> member</w:t>
            </w:r>
          </w:p>
        </w:tc>
        <w:tc>
          <w:tcPr>
            <w:tcW w:w="709" w:type="dxa"/>
            <w:tcBorders>
              <w:top w:val="single" w:sz="4" w:space="0" w:color="auto"/>
              <w:bottom w:val="single" w:sz="4" w:space="0" w:color="auto"/>
            </w:tcBorders>
            <w:vAlign w:val="center"/>
          </w:tcPr>
          <w:p w14:paraId="2DC72331" w14:textId="7CF79F53" w:rsidR="00386AB5" w:rsidRPr="00B01254" w:rsidRDefault="00386AB5" w:rsidP="000121A5">
            <w:pPr>
              <w:jc w:val="center"/>
              <w:rPr>
                <w:sz w:val="13"/>
                <w:szCs w:val="13"/>
              </w:rPr>
            </w:pPr>
            <w:r w:rsidRPr="00B01254">
              <w:rPr>
                <w:sz w:val="13"/>
                <w:szCs w:val="13"/>
              </w:rPr>
              <w:t>Few to count on</w:t>
            </w:r>
          </w:p>
        </w:tc>
      </w:tr>
      <w:tr w:rsidR="00A201A5" w:rsidRPr="00380DA5" w14:paraId="484344CE" w14:textId="2A31A2C9" w:rsidTr="000C34D0">
        <w:tc>
          <w:tcPr>
            <w:tcW w:w="1276" w:type="dxa"/>
            <w:tcBorders>
              <w:top w:val="single" w:sz="4" w:space="0" w:color="auto"/>
              <w:right w:val="single" w:sz="4" w:space="0" w:color="auto"/>
            </w:tcBorders>
            <w:vAlign w:val="center"/>
          </w:tcPr>
          <w:p w14:paraId="74444CE2" w14:textId="77777777" w:rsidR="00386AB5" w:rsidRDefault="00386AB5" w:rsidP="000121A5">
            <w:pPr>
              <w:rPr>
                <w:sz w:val="13"/>
                <w:szCs w:val="13"/>
              </w:rPr>
            </w:pPr>
            <w:r w:rsidRPr="00B01254">
              <w:rPr>
                <w:sz w:val="13"/>
                <w:szCs w:val="13"/>
              </w:rPr>
              <w:t>Often/</w:t>
            </w:r>
          </w:p>
          <w:p w14:paraId="78C6C501" w14:textId="7B467787" w:rsidR="00386AB5" w:rsidRPr="00B01254" w:rsidRDefault="00386AB5" w:rsidP="000121A5">
            <w:pPr>
              <w:rPr>
                <w:sz w:val="13"/>
                <w:szCs w:val="13"/>
              </w:rPr>
            </w:pPr>
            <w:r w:rsidRPr="00B01254">
              <w:rPr>
                <w:sz w:val="13"/>
                <w:szCs w:val="13"/>
              </w:rPr>
              <w:t>always lonely</w:t>
            </w:r>
          </w:p>
        </w:tc>
        <w:bookmarkEnd w:id="0"/>
        <w:tc>
          <w:tcPr>
            <w:tcW w:w="870" w:type="dxa"/>
            <w:tcBorders>
              <w:top w:val="single" w:sz="4" w:space="0" w:color="auto"/>
              <w:left w:val="single" w:sz="4" w:space="0" w:color="auto"/>
            </w:tcBorders>
            <w:vAlign w:val="center"/>
          </w:tcPr>
          <w:p w14:paraId="75BBBCD9" w14:textId="550E29AE" w:rsidR="00386AB5" w:rsidRPr="00CC6BE6" w:rsidRDefault="0005707E" w:rsidP="000121A5">
            <w:pPr>
              <w:jc w:val="center"/>
              <w:rPr>
                <w:sz w:val="17"/>
                <w:szCs w:val="17"/>
              </w:rPr>
            </w:pPr>
            <w:r w:rsidRPr="00CC6BE6">
              <w:rPr>
                <w:sz w:val="17"/>
                <w:szCs w:val="17"/>
              </w:rPr>
              <w:t>1</w:t>
            </w:r>
          </w:p>
        </w:tc>
        <w:tc>
          <w:tcPr>
            <w:tcW w:w="871" w:type="dxa"/>
            <w:tcBorders>
              <w:top w:val="single" w:sz="4" w:space="0" w:color="auto"/>
            </w:tcBorders>
            <w:vAlign w:val="center"/>
          </w:tcPr>
          <w:p w14:paraId="3E48BCA7" w14:textId="7454B299" w:rsidR="00386AB5" w:rsidRPr="00CC6BE6" w:rsidRDefault="00386AB5" w:rsidP="000121A5">
            <w:pPr>
              <w:jc w:val="center"/>
              <w:rPr>
                <w:sz w:val="17"/>
                <w:szCs w:val="17"/>
              </w:rPr>
            </w:pPr>
          </w:p>
        </w:tc>
        <w:tc>
          <w:tcPr>
            <w:tcW w:w="871" w:type="dxa"/>
            <w:tcBorders>
              <w:top w:val="single" w:sz="4" w:space="0" w:color="auto"/>
            </w:tcBorders>
            <w:vAlign w:val="center"/>
          </w:tcPr>
          <w:p w14:paraId="077A3B32"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773DAF8C" w14:textId="77777777" w:rsidR="00386AB5" w:rsidRPr="00CC6BE6" w:rsidRDefault="00386AB5" w:rsidP="000121A5">
            <w:pPr>
              <w:jc w:val="center"/>
              <w:rPr>
                <w:sz w:val="17"/>
                <w:szCs w:val="17"/>
              </w:rPr>
            </w:pPr>
          </w:p>
        </w:tc>
        <w:tc>
          <w:tcPr>
            <w:tcW w:w="870" w:type="dxa"/>
            <w:tcBorders>
              <w:top w:val="single" w:sz="4" w:space="0" w:color="auto"/>
            </w:tcBorders>
            <w:vAlign w:val="center"/>
          </w:tcPr>
          <w:p w14:paraId="14848B84"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3BE911F5"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7762B705"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211444E9"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21A46F7F" w14:textId="77777777" w:rsidR="00386AB5" w:rsidRPr="00CC6BE6" w:rsidRDefault="00386AB5" w:rsidP="000121A5">
            <w:pPr>
              <w:jc w:val="center"/>
              <w:rPr>
                <w:sz w:val="17"/>
                <w:szCs w:val="17"/>
              </w:rPr>
            </w:pPr>
          </w:p>
        </w:tc>
        <w:tc>
          <w:tcPr>
            <w:tcW w:w="870" w:type="dxa"/>
            <w:tcBorders>
              <w:top w:val="single" w:sz="4" w:space="0" w:color="auto"/>
            </w:tcBorders>
            <w:vAlign w:val="center"/>
          </w:tcPr>
          <w:p w14:paraId="3C560E3D"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4C6D0F5A"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0EF2DDB2"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162F9BA8" w14:textId="77777777" w:rsidR="00386AB5" w:rsidRPr="00CC6BE6" w:rsidRDefault="00386AB5" w:rsidP="000121A5">
            <w:pPr>
              <w:jc w:val="center"/>
              <w:rPr>
                <w:sz w:val="17"/>
                <w:szCs w:val="17"/>
              </w:rPr>
            </w:pPr>
          </w:p>
        </w:tc>
        <w:tc>
          <w:tcPr>
            <w:tcW w:w="871" w:type="dxa"/>
            <w:tcBorders>
              <w:top w:val="single" w:sz="4" w:space="0" w:color="auto"/>
            </w:tcBorders>
            <w:vAlign w:val="center"/>
          </w:tcPr>
          <w:p w14:paraId="3B733307" w14:textId="77777777" w:rsidR="00386AB5" w:rsidRPr="00CC6BE6" w:rsidRDefault="00386AB5" w:rsidP="000121A5">
            <w:pPr>
              <w:jc w:val="center"/>
              <w:rPr>
                <w:sz w:val="17"/>
                <w:szCs w:val="17"/>
              </w:rPr>
            </w:pPr>
          </w:p>
        </w:tc>
        <w:tc>
          <w:tcPr>
            <w:tcW w:w="850" w:type="dxa"/>
            <w:tcBorders>
              <w:top w:val="single" w:sz="4" w:space="0" w:color="auto"/>
            </w:tcBorders>
            <w:vAlign w:val="center"/>
          </w:tcPr>
          <w:p w14:paraId="4D7979D2" w14:textId="77777777" w:rsidR="00386AB5" w:rsidRPr="00CC6BE6" w:rsidRDefault="00386AB5" w:rsidP="000121A5">
            <w:pPr>
              <w:jc w:val="center"/>
              <w:rPr>
                <w:sz w:val="17"/>
                <w:szCs w:val="17"/>
              </w:rPr>
            </w:pPr>
          </w:p>
        </w:tc>
        <w:tc>
          <w:tcPr>
            <w:tcW w:w="709" w:type="dxa"/>
            <w:tcBorders>
              <w:top w:val="single" w:sz="4" w:space="0" w:color="auto"/>
            </w:tcBorders>
            <w:vAlign w:val="center"/>
          </w:tcPr>
          <w:p w14:paraId="4D3EB6C3" w14:textId="77777777" w:rsidR="00386AB5" w:rsidRPr="00CC6BE6" w:rsidRDefault="00386AB5" w:rsidP="000121A5">
            <w:pPr>
              <w:jc w:val="center"/>
              <w:rPr>
                <w:sz w:val="17"/>
                <w:szCs w:val="17"/>
              </w:rPr>
            </w:pPr>
          </w:p>
        </w:tc>
      </w:tr>
      <w:tr w:rsidR="00A201A5" w:rsidRPr="00380DA5" w14:paraId="5C511EA3" w14:textId="33ADBE03" w:rsidTr="000C34D0">
        <w:tc>
          <w:tcPr>
            <w:tcW w:w="1276" w:type="dxa"/>
            <w:tcBorders>
              <w:right w:val="single" w:sz="4" w:space="0" w:color="auto"/>
            </w:tcBorders>
            <w:vAlign w:val="center"/>
          </w:tcPr>
          <w:p w14:paraId="3750C432" w14:textId="77777777" w:rsidR="0005707E" w:rsidRDefault="0005707E" w:rsidP="000121A5">
            <w:pPr>
              <w:rPr>
                <w:sz w:val="13"/>
                <w:szCs w:val="13"/>
              </w:rPr>
            </w:pPr>
            <w:r w:rsidRPr="00B01254">
              <w:rPr>
                <w:sz w:val="13"/>
                <w:szCs w:val="13"/>
              </w:rPr>
              <w:t>Sometime</w:t>
            </w:r>
            <w:r>
              <w:rPr>
                <w:sz w:val="13"/>
                <w:szCs w:val="13"/>
              </w:rPr>
              <w:t>s</w:t>
            </w:r>
            <w:r w:rsidRPr="00B01254">
              <w:rPr>
                <w:sz w:val="13"/>
                <w:szCs w:val="13"/>
              </w:rPr>
              <w:t>/often/</w:t>
            </w:r>
          </w:p>
          <w:p w14:paraId="1FB86301" w14:textId="308374ED" w:rsidR="0005707E" w:rsidRPr="00B01254" w:rsidRDefault="0005707E" w:rsidP="000121A5">
            <w:pPr>
              <w:rPr>
                <w:sz w:val="13"/>
                <w:szCs w:val="13"/>
              </w:rPr>
            </w:pPr>
            <w:r w:rsidRPr="00B01254">
              <w:rPr>
                <w:sz w:val="13"/>
                <w:szCs w:val="13"/>
              </w:rPr>
              <w:t>always lonely</w:t>
            </w:r>
          </w:p>
        </w:tc>
        <w:tc>
          <w:tcPr>
            <w:tcW w:w="870" w:type="dxa"/>
            <w:tcBorders>
              <w:left w:val="single" w:sz="4" w:space="0" w:color="auto"/>
            </w:tcBorders>
            <w:vAlign w:val="center"/>
          </w:tcPr>
          <w:p w14:paraId="57B372AB" w14:textId="64D1E6AC" w:rsidR="0005707E" w:rsidRPr="00CC6BE6" w:rsidRDefault="0005707E" w:rsidP="000121A5">
            <w:pPr>
              <w:jc w:val="center"/>
              <w:rPr>
                <w:sz w:val="17"/>
                <w:szCs w:val="17"/>
              </w:rPr>
            </w:pPr>
            <w:r w:rsidRPr="00CC6BE6">
              <w:rPr>
                <w:sz w:val="17"/>
                <w:szCs w:val="17"/>
              </w:rPr>
              <w:t>0.50</w:t>
            </w:r>
            <w:r w:rsidR="00BA5DE7">
              <w:rPr>
                <w:sz w:val="17"/>
                <w:szCs w:val="17"/>
              </w:rPr>
              <w:t>0</w:t>
            </w:r>
            <w:r w:rsidRPr="00CC6BE6">
              <w:rPr>
                <w:sz w:val="17"/>
                <w:szCs w:val="17"/>
              </w:rPr>
              <w:t>*</w:t>
            </w:r>
          </w:p>
        </w:tc>
        <w:tc>
          <w:tcPr>
            <w:tcW w:w="871" w:type="dxa"/>
            <w:vAlign w:val="center"/>
          </w:tcPr>
          <w:p w14:paraId="1A42F02D" w14:textId="70549AA1" w:rsidR="0005707E" w:rsidRPr="00CC6BE6" w:rsidRDefault="0005707E" w:rsidP="000121A5">
            <w:pPr>
              <w:jc w:val="center"/>
              <w:rPr>
                <w:sz w:val="17"/>
                <w:szCs w:val="17"/>
              </w:rPr>
            </w:pPr>
            <w:r w:rsidRPr="00CC6BE6">
              <w:rPr>
                <w:sz w:val="17"/>
                <w:szCs w:val="17"/>
              </w:rPr>
              <w:t>1</w:t>
            </w:r>
          </w:p>
        </w:tc>
        <w:tc>
          <w:tcPr>
            <w:tcW w:w="871" w:type="dxa"/>
            <w:vAlign w:val="center"/>
          </w:tcPr>
          <w:p w14:paraId="1504B0F6" w14:textId="06BCB67C" w:rsidR="0005707E" w:rsidRPr="00CC6BE6" w:rsidRDefault="0005707E" w:rsidP="000121A5">
            <w:pPr>
              <w:jc w:val="center"/>
              <w:rPr>
                <w:sz w:val="17"/>
                <w:szCs w:val="17"/>
              </w:rPr>
            </w:pPr>
          </w:p>
        </w:tc>
        <w:tc>
          <w:tcPr>
            <w:tcW w:w="871" w:type="dxa"/>
            <w:vAlign w:val="center"/>
          </w:tcPr>
          <w:p w14:paraId="70059333" w14:textId="6DD84985" w:rsidR="0005707E" w:rsidRPr="00CC6BE6" w:rsidRDefault="0005707E" w:rsidP="000121A5">
            <w:pPr>
              <w:jc w:val="center"/>
              <w:rPr>
                <w:sz w:val="17"/>
                <w:szCs w:val="17"/>
              </w:rPr>
            </w:pPr>
          </w:p>
        </w:tc>
        <w:tc>
          <w:tcPr>
            <w:tcW w:w="870" w:type="dxa"/>
            <w:vAlign w:val="center"/>
          </w:tcPr>
          <w:p w14:paraId="20ECF075" w14:textId="77777777" w:rsidR="0005707E" w:rsidRPr="00CC6BE6" w:rsidRDefault="0005707E" w:rsidP="000121A5">
            <w:pPr>
              <w:jc w:val="center"/>
              <w:rPr>
                <w:sz w:val="17"/>
                <w:szCs w:val="17"/>
              </w:rPr>
            </w:pPr>
          </w:p>
        </w:tc>
        <w:tc>
          <w:tcPr>
            <w:tcW w:w="871" w:type="dxa"/>
            <w:vAlign w:val="center"/>
          </w:tcPr>
          <w:p w14:paraId="3CD185C1" w14:textId="77777777" w:rsidR="0005707E" w:rsidRPr="00CC6BE6" w:rsidRDefault="0005707E" w:rsidP="000121A5">
            <w:pPr>
              <w:jc w:val="center"/>
              <w:rPr>
                <w:sz w:val="17"/>
                <w:szCs w:val="17"/>
              </w:rPr>
            </w:pPr>
          </w:p>
        </w:tc>
        <w:tc>
          <w:tcPr>
            <w:tcW w:w="871" w:type="dxa"/>
            <w:vAlign w:val="center"/>
          </w:tcPr>
          <w:p w14:paraId="4D05215E" w14:textId="77777777" w:rsidR="0005707E" w:rsidRPr="00CC6BE6" w:rsidRDefault="0005707E" w:rsidP="000121A5">
            <w:pPr>
              <w:jc w:val="center"/>
              <w:rPr>
                <w:sz w:val="17"/>
                <w:szCs w:val="17"/>
              </w:rPr>
            </w:pPr>
          </w:p>
        </w:tc>
        <w:tc>
          <w:tcPr>
            <w:tcW w:w="871" w:type="dxa"/>
            <w:vAlign w:val="center"/>
          </w:tcPr>
          <w:p w14:paraId="58DDEE56" w14:textId="77777777" w:rsidR="0005707E" w:rsidRPr="00CC6BE6" w:rsidRDefault="0005707E" w:rsidP="000121A5">
            <w:pPr>
              <w:jc w:val="center"/>
              <w:rPr>
                <w:sz w:val="17"/>
                <w:szCs w:val="17"/>
              </w:rPr>
            </w:pPr>
          </w:p>
        </w:tc>
        <w:tc>
          <w:tcPr>
            <w:tcW w:w="871" w:type="dxa"/>
            <w:vAlign w:val="center"/>
          </w:tcPr>
          <w:p w14:paraId="550D3541" w14:textId="77777777" w:rsidR="0005707E" w:rsidRPr="00CC6BE6" w:rsidRDefault="0005707E" w:rsidP="000121A5">
            <w:pPr>
              <w:jc w:val="center"/>
              <w:rPr>
                <w:sz w:val="17"/>
                <w:szCs w:val="17"/>
              </w:rPr>
            </w:pPr>
          </w:p>
        </w:tc>
        <w:tc>
          <w:tcPr>
            <w:tcW w:w="870" w:type="dxa"/>
            <w:vAlign w:val="center"/>
          </w:tcPr>
          <w:p w14:paraId="76C0DA8C" w14:textId="77777777" w:rsidR="0005707E" w:rsidRPr="00CC6BE6" w:rsidRDefault="0005707E" w:rsidP="000121A5">
            <w:pPr>
              <w:jc w:val="center"/>
              <w:rPr>
                <w:sz w:val="17"/>
                <w:szCs w:val="17"/>
              </w:rPr>
            </w:pPr>
          </w:p>
        </w:tc>
        <w:tc>
          <w:tcPr>
            <w:tcW w:w="871" w:type="dxa"/>
            <w:vAlign w:val="center"/>
          </w:tcPr>
          <w:p w14:paraId="5F8D2831" w14:textId="77777777" w:rsidR="0005707E" w:rsidRPr="00CC6BE6" w:rsidRDefault="0005707E" w:rsidP="000121A5">
            <w:pPr>
              <w:jc w:val="center"/>
              <w:rPr>
                <w:sz w:val="17"/>
                <w:szCs w:val="17"/>
              </w:rPr>
            </w:pPr>
          </w:p>
        </w:tc>
        <w:tc>
          <w:tcPr>
            <w:tcW w:w="871" w:type="dxa"/>
            <w:vAlign w:val="center"/>
          </w:tcPr>
          <w:p w14:paraId="454BB90A" w14:textId="77777777" w:rsidR="0005707E" w:rsidRPr="00CC6BE6" w:rsidRDefault="0005707E" w:rsidP="000121A5">
            <w:pPr>
              <w:jc w:val="center"/>
              <w:rPr>
                <w:sz w:val="17"/>
                <w:szCs w:val="17"/>
              </w:rPr>
            </w:pPr>
          </w:p>
        </w:tc>
        <w:tc>
          <w:tcPr>
            <w:tcW w:w="871" w:type="dxa"/>
            <w:vAlign w:val="center"/>
          </w:tcPr>
          <w:p w14:paraId="05069B4A" w14:textId="77777777" w:rsidR="0005707E" w:rsidRPr="00CC6BE6" w:rsidRDefault="0005707E" w:rsidP="000121A5">
            <w:pPr>
              <w:jc w:val="center"/>
              <w:rPr>
                <w:sz w:val="17"/>
                <w:szCs w:val="17"/>
              </w:rPr>
            </w:pPr>
          </w:p>
        </w:tc>
        <w:tc>
          <w:tcPr>
            <w:tcW w:w="871" w:type="dxa"/>
            <w:vAlign w:val="center"/>
          </w:tcPr>
          <w:p w14:paraId="69801383" w14:textId="77777777" w:rsidR="0005707E" w:rsidRPr="00CC6BE6" w:rsidRDefault="0005707E" w:rsidP="000121A5">
            <w:pPr>
              <w:jc w:val="center"/>
              <w:rPr>
                <w:sz w:val="17"/>
                <w:szCs w:val="17"/>
              </w:rPr>
            </w:pPr>
          </w:p>
        </w:tc>
        <w:tc>
          <w:tcPr>
            <w:tcW w:w="850" w:type="dxa"/>
            <w:vAlign w:val="center"/>
          </w:tcPr>
          <w:p w14:paraId="71797A2E" w14:textId="77777777" w:rsidR="0005707E" w:rsidRPr="00CC6BE6" w:rsidRDefault="0005707E" w:rsidP="000121A5">
            <w:pPr>
              <w:jc w:val="center"/>
              <w:rPr>
                <w:sz w:val="17"/>
                <w:szCs w:val="17"/>
              </w:rPr>
            </w:pPr>
          </w:p>
        </w:tc>
        <w:tc>
          <w:tcPr>
            <w:tcW w:w="709" w:type="dxa"/>
            <w:vAlign w:val="center"/>
          </w:tcPr>
          <w:p w14:paraId="2B5F3CC0" w14:textId="77777777" w:rsidR="0005707E" w:rsidRPr="00CC6BE6" w:rsidRDefault="0005707E" w:rsidP="000121A5">
            <w:pPr>
              <w:jc w:val="center"/>
              <w:rPr>
                <w:sz w:val="17"/>
                <w:szCs w:val="17"/>
              </w:rPr>
            </w:pPr>
          </w:p>
        </w:tc>
      </w:tr>
      <w:tr w:rsidR="00A201A5" w:rsidRPr="00380DA5" w14:paraId="49882A11" w14:textId="59C10E4E" w:rsidTr="000C34D0">
        <w:tc>
          <w:tcPr>
            <w:tcW w:w="1276" w:type="dxa"/>
            <w:tcBorders>
              <w:right w:val="single" w:sz="4" w:space="0" w:color="auto"/>
            </w:tcBorders>
            <w:vAlign w:val="center"/>
          </w:tcPr>
          <w:p w14:paraId="3CF252AD" w14:textId="3E297BDE" w:rsidR="0005707E" w:rsidRPr="00B01254" w:rsidRDefault="0005707E" w:rsidP="000121A5">
            <w:pPr>
              <w:rPr>
                <w:sz w:val="13"/>
                <w:szCs w:val="13"/>
              </w:rPr>
            </w:pPr>
            <w:r w:rsidRPr="00B01254">
              <w:rPr>
                <w:sz w:val="13"/>
                <w:szCs w:val="13"/>
              </w:rPr>
              <w:t>Probable mental health problem</w:t>
            </w:r>
          </w:p>
        </w:tc>
        <w:tc>
          <w:tcPr>
            <w:tcW w:w="870" w:type="dxa"/>
            <w:tcBorders>
              <w:left w:val="single" w:sz="4" w:space="0" w:color="auto"/>
            </w:tcBorders>
            <w:vAlign w:val="center"/>
          </w:tcPr>
          <w:p w14:paraId="2F112AA8" w14:textId="30160C46" w:rsidR="0005707E" w:rsidRPr="00CC6BE6" w:rsidRDefault="0005707E" w:rsidP="000121A5">
            <w:pPr>
              <w:jc w:val="center"/>
              <w:rPr>
                <w:sz w:val="17"/>
                <w:szCs w:val="17"/>
              </w:rPr>
            </w:pPr>
            <w:r w:rsidRPr="00CC6BE6">
              <w:rPr>
                <w:sz w:val="17"/>
                <w:szCs w:val="17"/>
              </w:rPr>
              <w:t>0.3</w:t>
            </w:r>
            <w:r w:rsidR="00BA5DE7">
              <w:rPr>
                <w:sz w:val="17"/>
                <w:szCs w:val="17"/>
              </w:rPr>
              <w:t>34</w:t>
            </w:r>
            <w:r w:rsidRPr="00CC6BE6">
              <w:rPr>
                <w:sz w:val="17"/>
                <w:szCs w:val="17"/>
              </w:rPr>
              <w:t>*</w:t>
            </w:r>
          </w:p>
        </w:tc>
        <w:tc>
          <w:tcPr>
            <w:tcW w:w="871" w:type="dxa"/>
            <w:vAlign w:val="center"/>
          </w:tcPr>
          <w:p w14:paraId="409E47E6" w14:textId="5664680F" w:rsidR="0005707E" w:rsidRPr="00CC6BE6" w:rsidRDefault="005A311F" w:rsidP="000121A5">
            <w:pPr>
              <w:jc w:val="center"/>
              <w:rPr>
                <w:sz w:val="17"/>
                <w:szCs w:val="17"/>
              </w:rPr>
            </w:pPr>
            <w:r w:rsidRPr="00CC6BE6">
              <w:rPr>
                <w:sz w:val="17"/>
                <w:szCs w:val="17"/>
              </w:rPr>
              <w:t>0.3</w:t>
            </w:r>
            <w:r w:rsidR="00F771F4">
              <w:rPr>
                <w:sz w:val="17"/>
                <w:szCs w:val="17"/>
              </w:rPr>
              <w:t>56</w:t>
            </w:r>
            <w:r w:rsidR="004C352F" w:rsidRPr="00CC6BE6">
              <w:rPr>
                <w:sz w:val="17"/>
                <w:szCs w:val="17"/>
              </w:rPr>
              <w:t>*</w:t>
            </w:r>
          </w:p>
        </w:tc>
        <w:tc>
          <w:tcPr>
            <w:tcW w:w="871" w:type="dxa"/>
            <w:vAlign w:val="center"/>
          </w:tcPr>
          <w:p w14:paraId="1339065E" w14:textId="78BD06D9" w:rsidR="0005707E" w:rsidRPr="00CC6BE6" w:rsidRDefault="0005707E" w:rsidP="000121A5">
            <w:pPr>
              <w:jc w:val="center"/>
              <w:rPr>
                <w:sz w:val="17"/>
                <w:szCs w:val="17"/>
              </w:rPr>
            </w:pPr>
            <w:r w:rsidRPr="00CC6BE6">
              <w:rPr>
                <w:sz w:val="17"/>
                <w:szCs w:val="17"/>
              </w:rPr>
              <w:t>1</w:t>
            </w:r>
          </w:p>
        </w:tc>
        <w:tc>
          <w:tcPr>
            <w:tcW w:w="871" w:type="dxa"/>
            <w:vAlign w:val="center"/>
          </w:tcPr>
          <w:p w14:paraId="0DB60663" w14:textId="10B16C12" w:rsidR="0005707E" w:rsidRPr="00CC6BE6" w:rsidRDefault="0005707E" w:rsidP="000121A5">
            <w:pPr>
              <w:jc w:val="center"/>
              <w:rPr>
                <w:sz w:val="17"/>
                <w:szCs w:val="17"/>
              </w:rPr>
            </w:pPr>
          </w:p>
        </w:tc>
        <w:tc>
          <w:tcPr>
            <w:tcW w:w="870" w:type="dxa"/>
            <w:vAlign w:val="center"/>
          </w:tcPr>
          <w:p w14:paraId="1B1FCD52" w14:textId="77777777" w:rsidR="0005707E" w:rsidRPr="00CC6BE6" w:rsidRDefault="0005707E" w:rsidP="000121A5">
            <w:pPr>
              <w:jc w:val="center"/>
              <w:rPr>
                <w:sz w:val="17"/>
                <w:szCs w:val="17"/>
              </w:rPr>
            </w:pPr>
          </w:p>
        </w:tc>
        <w:tc>
          <w:tcPr>
            <w:tcW w:w="871" w:type="dxa"/>
            <w:vAlign w:val="center"/>
          </w:tcPr>
          <w:p w14:paraId="2E1495F6" w14:textId="77777777" w:rsidR="0005707E" w:rsidRPr="00CC6BE6" w:rsidRDefault="0005707E" w:rsidP="000121A5">
            <w:pPr>
              <w:jc w:val="center"/>
              <w:rPr>
                <w:sz w:val="17"/>
                <w:szCs w:val="17"/>
              </w:rPr>
            </w:pPr>
          </w:p>
        </w:tc>
        <w:tc>
          <w:tcPr>
            <w:tcW w:w="871" w:type="dxa"/>
            <w:vAlign w:val="center"/>
          </w:tcPr>
          <w:p w14:paraId="66C9C9AB" w14:textId="77777777" w:rsidR="0005707E" w:rsidRPr="00CC6BE6" w:rsidRDefault="0005707E" w:rsidP="000121A5">
            <w:pPr>
              <w:jc w:val="center"/>
              <w:rPr>
                <w:sz w:val="17"/>
                <w:szCs w:val="17"/>
              </w:rPr>
            </w:pPr>
          </w:p>
        </w:tc>
        <w:tc>
          <w:tcPr>
            <w:tcW w:w="871" w:type="dxa"/>
            <w:vAlign w:val="center"/>
          </w:tcPr>
          <w:p w14:paraId="664A9403" w14:textId="77777777" w:rsidR="0005707E" w:rsidRPr="00CC6BE6" w:rsidRDefault="0005707E" w:rsidP="000121A5">
            <w:pPr>
              <w:jc w:val="center"/>
              <w:rPr>
                <w:sz w:val="17"/>
                <w:szCs w:val="17"/>
              </w:rPr>
            </w:pPr>
          </w:p>
        </w:tc>
        <w:tc>
          <w:tcPr>
            <w:tcW w:w="871" w:type="dxa"/>
            <w:vAlign w:val="center"/>
          </w:tcPr>
          <w:p w14:paraId="561D30B3" w14:textId="77777777" w:rsidR="0005707E" w:rsidRPr="00CC6BE6" w:rsidRDefault="0005707E" w:rsidP="000121A5">
            <w:pPr>
              <w:jc w:val="center"/>
              <w:rPr>
                <w:sz w:val="17"/>
                <w:szCs w:val="17"/>
              </w:rPr>
            </w:pPr>
          </w:p>
        </w:tc>
        <w:tc>
          <w:tcPr>
            <w:tcW w:w="870" w:type="dxa"/>
            <w:vAlign w:val="center"/>
          </w:tcPr>
          <w:p w14:paraId="38E2154D" w14:textId="77777777" w:rsidR="0005707E" w:rsidRPr="00CC6BE6" w:rsidRDefault="0005707E" w:rsidP="000121A5">
            <w:pPr>
              <w:jc w:val="center"/>
              <w:rPr>
                <w:sz w:val="17"/>
                <w:szCs w:val="17"/>
              </w:rPr>
            </w:pPr>
          </w:p>
        </w:tc>
        <w:tc>
          <w:tcPr>
            <w:tcW w:w="871" w:type="dxa"/>
            <w:vAlign w:val="center"/>
          </w:tcPr>
          <w:p w14:paraId="5457EF62" w14:textId="77777777" w:rsidR="0005707E" w:rsidRPr="00CC6BE6" w:rsidRDefault="0005707E" w:rsidP="000121A5">
            <w:pPr>
              <w:jc w:val="center"/>
              <w:rPr>
                <w:sz w:val="17"/>
                <w:szCs w:val="17"/>
              </w:rPr>
            </w:pPr>
          </w:p>
        </w:tc>
        <w:tc>
          <w:tcPr>
            <w:tcW w:w="871" w:type="dxa"/>
            <w:vAlign w:val="center"/>
          </w:tcPr>
          <w:p w14:paraId="4C875639" w14:textId="77777777" w:rsidR="0005707E" w:rsidRPr="00CC6BE6" w:rsidRDefault="0005707E" w:rsidP="000121A5">
            <w:pPr>
              <w:jc w:val="center"/>
              <w:rPr>
                <w:sz w:val="17"/>
                <w:szCs w:val="17"/>
              </w:rPr>
            </w:pPr>
          </w:p>
        </w:tc>
        <w:tc>
          <w:tcPr>
            <w:tcW w:w="871" w:type="dxa"/>
            <w:vAlign w:val="center"/>
          </w:tcPr>
          <w:p w14:paraId="7F039774" w14:textId="77777777" w:rsidR="0005707E" w:rsidRPr="00CC6BE6" w:rsidRDefault="0005707E" w:rsidP="000121A5">
            <w:pPr>
              <w:jc w:val="center"/>
              <w:rPr>
                <w:sz w:val="17"/>
                <w:szCs w:val="17"/>
              </w:rPr>
            </w:pPr>
          </w:p>
        </w:tc>
        <w:tc>
          <w:tcPr>
            <w:tcW w:w="871" w:type="dxa"/>
            <w:vAlign w:val="center"/>
          </w:tcPr>
          <w:p w14:paraId="47D639AC" w14:textId="77777777" w:rsidR="0005707E" w:rsidRPr="00CC6BE6" w:rsidRDefault="0005707E" w:rsidP="000121A5">
            <w:pPr>
              <w:jc w:val="center"/>
              <w:rPr>
                <w:sz w:val="17"/>
                <w:szCs w:val="17"/>
              </w:rPr>
            </w:pPr>
          </w:p>
        </w:tc>
        <w:tc>
          <w:tcPr>
            <w:tcW w:w="850" w:type="dxa"/>
            <w:vAlign w:val="center"/>
          </w:tcPr>
          <w:p w14:paraId="006F5122" w14:textId="77777777" w:rsidR="0005707E" w:rsidRPr="00CC6BE6" w:rsidRDefault="0005707E" w:rsidP="000121A5">
            <w:pPr>
              <w:jc w:val="center"/>
              <w:rPr>
                <w:sz w:val="17"/>
                <w:szCs w:val="17"/>
              </w:rPr>
            </w:pPr>
          </w:p>
        </w:tc>
        <w:tc>
          <w:tcPr>
            <w:tcW w:w="709" w:type="dxa"/>
            <w:vAlign w:val="center"/>
          </w:tcPr>
          <w:p w14:paraId="5E4E9FA6" w14:textId="77777777" w:rsidR="0005707E" w:rsidRPr="00CC6BE6" w:rsidRDefault="0005707E" w:rsidP="000121A5">
            <w:pPr>
              <w:jc w:val="center"/>
              <w:rPr>
                <w:sz w:val="17"/>
                <w:szCs w:val="17"/>
              </w:rPr>
            </w:pPr>
          </w:p>
        </w:tc>
      </w:tr>
      <w:tr w:rsidR="00A201A5" w:rsidRPr="00380DA5" w14:paraId="1134EAB6" w14:textId="24DA5310" w:rsidTr="000C34D0">
        <w:tc>
          <w:tcPr>
            <w:tcW w:w="1276" w:type="dxa"/>
            <w:tcBorders>
              <w:right w:val="single" w:sz="4" w:space="0" w:color="auto"/>
            </w:tcBorders>
            <w:vAlign w:val="center"/>
          </w:tcPr>
          <w:p w14:paraId="24595F41" w14:textId="5881D055" w:rsidR="0005707E" w:rsidRPr="00B01254" w:rsidRDefault="0005707E" w:rsidP="000121A5">
            <w:pPr>
              <w:rPr>
                <w:sz w:val="13"/>
                <w:szCs w:val="13"/>
              </w:rPr>
            </w:pPr>
            <w:r w:rsidRPr="00B01254">
              <w:rPr>
                <w:sz w:val="13"/>
                <w:szCs w:val="13"/>
              </w:rPr>
              <w:t>Good quality of life</w:t>
            </w:r>
          </w:p>
        </w:tc>
        <w:tc>
          <w:tcPr>
            <w:tcW w:w="870" w:type="dxa"/>
            <w:tcBorders>
              <w:left w:val="single" w:sz="4" w:space="0" w:color="auto"/>
            </w:tcBorders>
            <w:vAlign w:val="center"/>
          </w:tcPr>
          <w:p w14:paraId="07C2A82B" w14:textId="0D635788" w:rsidR="0005707E" w:rsidRPr="00CC6BE6" w:rsidRDefault="0005707E" w:rsidP="000121A5">
            <w:pPr>
              <w:jc w:val="center"/>
              <w:rPr>
                <w:sz w:val="17"/>
                <w:szCs w:val="17"/>
              </w:rPr>
            </w:pPr>
            <w:r w:rsidRPr="00CC6BE6">
              <w:rPr>
                <w:sz w:val="17"/>
                <w:szCs w:val="17"/>
              </w:rPr>
              <w:t>-0.22</w:t>
            </w:r>
            <w:r w:rsidR="00BA5DE7">
              <w:rPr>
                <w:sz w:val="17"/>
                <w:szCs w:val="17"/>
              </w:rPr>
              <w:t>4*</w:t>
            </w:r>
          </w:p>
        </w:tc>
        <w:tc>
          <w:tcPr>
            <w:tcW w:w="871" w:type="dxa"/>
            <w:vAlign w:val="center"/>
          </w:tcPr>
          <w:p w14:paraId="51BA3E54" w14:textId="06A960B8" w:rsidR="0005707E" w:rsidRPr="00CC6BE6" w:rsidRDefault="004C352F" w:rsidP="000121A5">
            <w:pPr>
              <w:jc w:val="center"/>
              <w:rPr>
                <w:sz w:val="17"/>
                <w:szCs w:val="17"/>
              </w:rPr>
            </w:pPr>
            <w:r w:rsidRPr="00CC6BE6">
              <w:rPr>
                <w:sz w:val="17"/>
                <w:szCs w:val="17"/>
              </w:rPr>
              <w:t>-0.2</w:t>
            </w:r>
            <w:r w:rsidR="00860CA3">
              <w:rPr>
                <w:sz w:val="17"/>
                <w:szCs w:val="17"/>
              </w:rPr>
              <w:t>89*</w:t>
            </w:r>
          </w:p>
        </w:tc>
        <w:tc>
          <w:tcPr>
            <w:tcW w:w="871" w:type="dxa"/>
            <w:vAlign w:val="center"/>
          </w:tcPr>
          <w:p w14:paraId="70F60C02" w14:textId="5B243D9F" w:rsidR="0005707E" w:rsidRPr="00CC6BE6" w:rsidRDefault="0021751C" w:rsidP="000121A5">
            <w:pPr>
              <w:jc w:val="center"/>
              <w:rPr>
                <w:sz w:val="17"/>
                <w:szCs w:val="17"/>
              </w:rPr>
            </w:pPr>
            <w:r w:rsidRPr="00CC6BE6">
              <w:rPr>
                <w:sz w:val="17"/>
                <w:szCs w:val="17"/>
              </w:rPr>
              <w:t>-0.3</w:t>
            </w:r>
            <w:r w:rsidR="00886D6B">
              <w:rPr>
                <w:sz w:val="17"/>
                <w:szCs w:val="17"/>
              </w:rPr>
              <w:t>35</w:t>
            </w:r>
            <w:r w:rsidRPr="00CC6BE6">
              <w:rPr>
                <w:sz w:val="17"/>
                <w:szCs w:val="17"/>
              </w:rPr>
              <w:t>*</w:t>
            </w:r>
          </w:p>
        </w:tc>
        <w:tc>
          <w:tcPr>
            <w:tcW w:w="871" w:type="dxa"/>
            <w:vAlign w:val="center"/>
          </w:tcPr>
          <w:p w14:paraId="2A378D5B" w14:textId="018BAAC9" w:rsidR="0005707E" w:rsidRPr="00CC6BE6" w:rsidRDefault="0005707E" w:rsidP="000121A5">
            <w:pPr>
              <w:jc w:val="center"/>
              <w:rPr>
                <w:sz w:val="17"/>
                <w:szCs w:val="17"/>
              </w:rPr>
            </w:pPr>
            <w:r w:rsidRPr="00CC6BE6">
              <w:rPr>
                <w:sz w:val="17"/>
                <w:szCs w:val="17"/>
              </w:rPr>
              <w:t>1</w:t>
            </w:r>
          </w:p>
        </w:tc>
        <w:tc>
          <w:tcPr>
            <w:tcW w:w="870" w:type="dxa"/>
            <w:vAlign w:val="center"/>
          </w:tcPr>
          <w:p w14:paraId="3036B3CD" w14:textId="662395FE" w:rsidR="0005707E" w:rsidRPr="00CC6BE6" w:rsidRDefault="0005707E" w:rsidP="000121A5">
            <w:pPr>
              <w:jc w:val="center"/>
              <w:rPr>
                <w:sz w:val="17"/>
                <w:szCs w:val="17"/>
              </w:rPr>
            </w:pPr>
          </w:p>
        </w:tc>
        <w:tc>
          <w:tcPr>
            <w:tcW w:w="871" w:type="dxa"/>
            <w:vAlign w:val="center"/>
          </w:tcPr>
          <w:p w14:paraId="3D9C8DD9" w14:textId="77777777" w:rsidR="0005707E" w:rsidRPr="00CC6BE6" w:rsidRDefault="0005707E" w:rsidP="000121A5">
            <w:pPr>
              <w:jc w:val="center"/>
              <w:rPr>
                <w:sz w:val="17"/>
                <w:szCs w:val="17"/>
              </w:rPr>
            </w:pPr>
          </w:p>
        </w:tc>
        <w:tc>
          <w:tcPr>
            <w:tcW w:w="871" w:type="dxa"/>
            <w:vAlign w:val="center"/>
          </w:tcPr>
          <w:p w14:paraId="39FA9786" w14:textId="77777777" w:rsidR="0005707E" w:rsidRPr="00CC6BE6" w:rsidRDefault="0005707E" w:rsidP="000121A5">
            <w:pPr>
              <w:jc w:val="center"/>
              <w:rPr>
                <w:sz w:val="17"/>
                <w:szCs w:val="17"/>
              </w:rPr>
            </w:pPr>
          </w:p>
        </w:tc>
        <w:tc>
          <w:tcPr>
            <w:tcW w:w="871" w:type="dxa"/>
            <w:vAlign w:val="center"/>
          </w:tcPr>
          <w:p w14:paraId="5D93B36A" w14:textId="77777777" w:rsidR="0005707E" w:rsidRPr="00CC6BE6" w:rsidRDefault="0005707E" w:rsidP="000121A5">
            <w:pPr>
              <w:jc w:val="center"/>
              <w:rPr>
                <w:sz w:val="17"/>
                <w:szCs w:val="17"/>
              </w:rPr>
            </w:pPr>
          </w:p>
        </w:tc>
        <w:tc>
          <w:tcPr>
            <w:tcW w:w="871" w:type="dxa"/>
            <w:vAlign w:val="center"/>
          </w:tcPr>
          <w:p w14:paraId="0656CB25" w14:textId="77777777" w:rsidR="0005707E" w:rsidRPr="00CC6BE6" w:rsidRDefault="0005707E" w:rsidP="000121A5">
            <w:pPr>
              <w:jc w:val="center"/>
              <w:rPr>
                <w:sz w:val="17"/>
                <w:szCs w:val="17"/>
              </w:rPr>
            </w:pPr>
          </w:p>
        </w:tc>
        <w:tc>
          <w:tcPr>
            <w:tcW w:w="870" w:type="dxa"/>
            <w:vAlign w:val="center"/>
          </w:tcPr>
          <w:p w14:paraId="4ABBF18E" w14:textId="77777777" w:rsidR="0005707E" w:rsidRPr="00CC6BE6" w:rsidRDefault="0005707E" w:rsidP="000121A5">
            <w:pPr>
              <w:jc w:val="center"/>
              <w:rPr>
                <w:sz w:val="17"/>
                <w:szCs w:val="17"/>
              </w:rPr>
            </w:pPr>
          </w:p>
        </w:tc>
        <w:tc>
          <w:tcPr>
            <w:tcW w:w="871" w:type="dxa"/>
            <w:vAlign w:val="center"/>
          </w:tcPr>
          <w:p w14:paraId="272EA762" w14:textId="77777777" w:rsidR="0005707E" w:rsidRPr="00CC6BE6" w:rsidRDefault="0005707E" w:rsidP="000121A5">
            <w:pPr>
              <w:jc w:val="center"/>
              <w:rPr>
                <w:sz w:val="17"/>
                <w:szCs w:val="17"/>
              </w:rPr>
            </w:pPr>
          </w:p>
        </w:tc>
        <w:tc>
          <w:tcPr>
            <w:tcW w:w="871" w:type="dxa"/>
            <w:vAlign w:val="center"/>
          </w:tcPr>
          <w:p w14:paraId="43D8296D" w14:textId="77777777" w:rsidR="0005707E" w:rsidRPr="00CC6BE6" w:rsidRDefault="0005707E" w:rsidP="000121A5">
            <w:pPr>
              <w:jc w:val="center"/>
              <w:rPr>
                <w:sz w:val="17"/>
                <w:szCs w:val="17"/>
              </w:rPr>
            </w:pPr>
          </w:p>
        </w:tc>
        <w:tc>
          <w:tcPr>
            <w:tcW w:w="871" w:type="dxa"/>
            <w:vAlign w:val="center"/>
          </w:tcPr>
          <w:p w14:paraId="56BA17BC" w14:textId="77777777" w:rsidR="0005707E" w:rsidRPr="00CC6BE6" w:rsidRDefault="0005707E" w:rsidP="000121A5">
            <w:pPr>
              <w:jc w:val="center"/>
              <w:rPr>
                <w:sz w:val="17"/>
                <w:szCs w:val="17"/>
              </w:rPr>
            </w:pPr>
          </w:p>
        </w:tc>
        <w:tc>
          <w:tcPr>
            <w:tcW w:w="871" w:type="dxa"/>
            <w:vAlign w:val="center"/>
          </w:tcPr>
          <w:p w14:paraId="3C2D58AB" w14:textId="77777777" w:rsidR="0005707E" w:rsidRPr="00CC6BE6" w:rsidRDefault="0005707E" w:rsidP="000121A5">
            <w:pPr>
              <w:jc w:val="center"/>
              <w:rPr>
                <w:sz w:val="17"/>
                <w:szCs w:val="17"/>
              </w:rPr>
            </w:pPr>
          </w:p>
        </w:tc>
        <w:tc>
          <w:tcPr>
            <w:tcW w:w="850" w:type="dxa"/>
            <w:vAlign w:val="center"/>
          </w:tcPr>
          <w:p w14:paraId="32AF7C00" w14:textId="77777777" w:rsidR="0005707E" w:rsidRPr="00CC6BE6" w:rsidRDefault="0005707E" w:rsidP="000121A5">
            <w:pPr>
              <w:jc w:val="center"/>
              <w:rPr>
                <w:sz w:val="17"/>
                <w:szCs w:val="17"/>
              </w:rPr>
            </w:pPr>
          </w:p>
        </w:tc>
        <w:tc>
          <w:tcPr>
            <w:tcW w:w="709" w:type="dxa"/>
            <w:vAlign w:val="center"/>
          </w:tcPr>
          <w:p w14:paraId="66B14ADA" w14:textId="77777777" w:rsidR="0005707E" w:rsidRPr="00CC6BE6" w:rsidRDefault="0005707E" w:rsidP="000121A5">
            <w:pPr>
              <w:jc w:val="center"/>
              <w:rPr>
                <w:sz w:val="17"/>
                <w:szCs w:val="17"/>
              </w:rPr>
            </w:pPr>
          </w:p>
        </w:tc>
      </w:tr>
      <w:tr w:rsidR="00A201A5" w:rsidRPr="00380DA5" w14:paraId="5B05D8ED" w14:textId="17E379A3" w:rsidTr="000C34D0">
        <w:tc>
          <w:tcPr>
            <w:tcW w:w="1276" w:type="dxa"/>
            <w:tcBorders>
              <w:right w:val="single" w:sz="4" w:space="0" w:color="auto"/>
            </w:tcBorders>
            <w:vAlign w:val="center"/>
          </w:tcPr>
          <w:p w14:paraId="20A7BDCE" w14:textId="0722412C" w:rsidR="0005707E" w:rsidRPr="00B01254" w:rsidRDefault="0005707E" w:rsidP="000121A5">
            <w:pPr>
              <w:rPr>
                <w:sz w:val="13"/>
                <w:szCs w:val="13"/>
              </w:rPr>
            </w:pPr>
            <w:r w:rsidRPr="00B01254">
              <w:rPr>
                <w:sz w:val="13"/>
                <w:szCs w:val="13"/>
              </w:rPr>
              <w:t>Female</w:t>
            </w:r>
          </w:p>
        </w:tc>
        <w:tc>
          <w:tcPr>
            <w:tcW w:w="870" w:type="dxa"/>
            <w:tcBorders>
              <w:left w:val="single" w:sz="4" w:space="0" w:color="auto"/>
            </w:tcBorders>
            <w:vAlign w:val="center"/>
          </w:tcPr>
          <w:p w14:paraId="361D125F" w14:textId="6CED050F" w:rsidR="0005707E" w:rsidRPr="00CC6BE6" w:rsidRDefault="0005707E" w:rsidP="000121A5">
            <w:pPr>
              <w:jc w:val="center"/>
              <w:rPr>
                <w:sz w:val="17"/>
                <w:szCs w:val="17"/>
              </w:rPr>
            </w:pPr>
            <w:r w:rsidRPr="00CC6BE6">
              <w:rPr>
                <w:sz w:val="17"/>
                <w:szCs w:val="17"/>
              </w:rPr>
              <w:t>0.0</w:t>
            </w:r>
            <w:r w:rsidR="00BA5DE7">
              <w:rPr>
                <w:sz w:val="17"/>
                <w:szCs w:val="17"/>
              </w:rPr>
              <w:t>49*</w:t>
            </w:r>
          </w:p>
        </w:tc>
        <w:tc>
          <w:tcPr>
            <w:tcW w:w="871" w:type="dxa"/>
            <w:vAlign w:val="center"/>
          </w:tcPr>
          <w:p w14:paraId="1456A094" w14:textId="4FEA60CC" w:rsidR="0005707E" w:rsidRPr="00CC6BE6" w:rsidRDefault="004C352F" w:rsidP="000121A5">
            <w:pPr>
              <w:jc w:val="center"/>
              <w:rPr>
                <w:sz w:val="17"/>
                <w:szCs w:val="17"/>
              </w:rPr>
            </w:pPr>
            <w:r w:rsidRPr="00CC6BE6">
              <w:rPr>
                <w:sz w:val="17"/>
                <w:szCs w:val="17"/>
              </w:rPr>
              <w:t>0.0</w:t>
            </w:r>
            <w:r w:rsidR="00860CA3">
              <w:rPr>
                <w:sz w:val="17"/>
                <w:szCs w:val="17"/>
              </w:rPr>
              <w:t>65*</w:t>
            </w:r>
          </w:p>
        </w:tc>
        <w:tc>
          <w:tcPr>
            <w:tcW w:w="871" w:type="dxa"/>
            <w:vAlign w:val="center"/>
          </w:tcPr>
          <w:p w14:paraId="5A5B0DFA" w14:textId="216C37BE" w:rsidR="0005707E" w:rsidRPr="00CC6BE6" w:rsidRDefault="0021751C" w:rsidP="000121A5">
            <w:pPr>
              <w:jc w:val="center"/>
              <w:rPr>
                <w:sz w:val="17"/>
                <w:szCs w:val="17"/>
              </w:rPr>
            </w:pPr>
            <w:r w:rsidRPr="00CC6BE6">
              <w:rPr>
                <w:sz w:val="17"/>
                <w:szCs w:val="17"/>
              </w:rPr>
              <w:t>0.0</w:t>
            </w:r>
            <w:r w:rsidR="00886D6B">
              <w:rPr>
                <w:sz w:val="17"/>
                <w:szCs w:val="17"/>
              </w:rPr>
              <w:t>75</w:t>
            </w:r>
            <w:r w:rsidRPr="00CC6BE6">
              <w:rPr>
                <w:sz w:val="17"/>
                <w:szCs w:val="17"/>
              </w:rPr>
              <w:t>*</w:t>
            </w:r>
          </w:p>
        </w:tc>
        <w:tc>
          <w:tcPr>
            <w:tcW w:w="871" w:type="dxa"/>
            <w:vAlign w:val="center"/>
          </w:tcPr>
          <w:p w14:paraId="72342335" w14:textId="63E92065" w:rsidR="0005707E" w:rsidRPr="00CC6BE6" w:rsidRDefault="007142C5" w:rsidP="000121A5">
            <w:pPr>
              <w:jc w:val="center"/>
              <w:rPr>
                <w:sz w:val="17"/>
                <w:szCs w:val="17"/>
              </w:rPr>
            </w:pPr>
            <w:r w:rsidRPr="00CC6BE6">
              <w:rPr>
                <w:sz w:val="17"/>
                <w:szCs w:val="17"/>
              </w:rPr>
              <w:t>-0.0</w:t>
            </w:r>
            <w:r w:rsidR="00FC4C64">
              <w:rPr>
                <w:sz w:val="17"/>
                <w:szCs w:val="17"/>
              </w:rPr>
              <w:t>23*</w:t>
            </w:r>
          </w:p>
        </w:tc>
        <w:tc>
          <w:tcPr>
            <w:tcW w:w="870" w:type="dxa"/>
            <w:vAlign w:val="center"/>
          </w:tcPr>
          <w:p w14:paraId="55379DF7" w14:textId="7E3E1B38" w:rsidR="0005707E" w:rsidRPr="00CC6BE6" w:rsidRDefault="0005707E" w:rsidP="000121A5">
            <w:pPr>
              <w:jc w:val="center"/>
              <w:rPr>
                <w:sz w:val="17"/>
                <w:szCs w:val="17"/>
              </w:rPr>
            </w:pPr>
            <w:r w:rsidRPr="00CC6BE6">
              <w:rPr>
                <w:sz w:val="17"/>
                <w:szCs w:val="17"/>
              </w:rPr>
              <w:t>1</w:t>
            </w:r>
          </w:p>
        </w:tc>
        <w:tc>
          <w:tcPr>
            <w:tcW w:w="871" w:type="dxa"/>
            <w:vAlign w:val="center"/>
          </w:tcPr>
          <w:p w14:paraId="51B3F45B" w14:textId="2FA738DE" w:rsidR="0005707E" w:rsidRPr="00CC6BE6" w:rsidRDefault="0005707E" w:rsidP="000121A5">
            <w:pPr>
              <w:jc w:val="center"/>
              <w:rPr>
                <w:sz w:val="17"/>
                <w:szCs w:val="17"/>
              </w:rPr>
            </w:pPr>
          </w:p>
        </w:tc>
        <w:tc>
          <w:tcPr>
            <w:tcW w:w="871" w:type="dxa"/>
            <w:vAlign w:val="center"/>
          </w:tcPr>
          <w:p w14:paraId="7FB228E9" w14:textId="77777777" w:rsidR="0005707E" w:rsidRPr="00CC6BE6" w:rsidRDefault="0005707E" w:rsidP="000121A5">
            <w:pPr>
              <w:jc w:val="center"/>
              <w:rPr>
                <w:sz w:val="17"/>
                <w:szCs w:val="17"/>
              </w:rPr>
            </w:pPr>
          </w:p>
        </w:tc>
        <w:tc>
          <w:tcPr>
            <w:tcW w:w="871" w:type="dxa"/>
            <w:vAlign w:val="center"/>
          </w:tcPr>
          <w:p w14:paraId="70D87B63" w14:textId="77777777" w:rsidR="0005707E" w:rsidRPr="00CC6BE6" w:rsidRDefault="0005707E" w:rsidP="000121A5">
            <w:pPr>
              <w:jc w:val="center"/>
              <w:rPr>
                <w:sz w:val="17"/>
                <w:szCs w:val="17"/>
              </w:rPr>
            </w:pPr>
          </w:p>
        </w:tc>
        <w:tc>
          <w:tcPr>
            <w:tcW w:w="871" w:type="dxa"/>
            <w:vAlign w:val="center"/>
          </w:tcPr>
          <w:p w14:paraId="3C0271D6" w14:textId="77777777" w:rsidR="0005707E" w:rsidRPr="00CC6BE6" w:rsidRDefault="0005707E" w:rsidP="000121A5">
            <w:pPr>
              <w:jc w:val="center"/>
              <w:rPr>
                <w:sz w:val="17"/>
                <w:szCs w:val="17"/>
              </w:rPr>
            </w:pPr>
          </w:p>
        </w:tc>
        <w:tc>
          <w:tcPr>
            <w:tcW w:w="870" w:type="dxa"/>
            <w:vAlign w:val="center"/>
          </w:tcPr>
          <w:p w14:paraId="44D5F5BC" w14:textId="77777777" w:rsidR="0005707E" w:rsidRPr="00CC6BE6" w:rsidRDefault="0005707E" w:rsidP="000121A5">
            <w:pPr>
              <w:jc w:val="center"/>
              <w:rPr>
                <w:sz w:val="17"/>
                <w:szCs w:val="17"/>
              </w:rPr>
            </w:pPr>
          </w:p>
        </w:tc>
        <w:tc>
          <w:tcPr>
            <w:tcW w:w="871" w:type="dxa"/>
            <w:vAlign w:val="center"/>
          </w:tcPr>
          <w:p w14:paraId="5F4102B7" w14:textId="77777777" w:rsidR="0005707E" w:rsidRPr="00CC6BE6" w:rsidRDefault="0005707E" w:rsidP="000121A5">
            <w:pPr>
              <w:jc w:val="center"/>
              <w:rPr>
                <w:sz w:val="17"/>
                <w:szCs w:val="17"/>
              </w:rPr>
            </w:pPr>
          </w:p>
        </w:tc>
        <w:tc>
          <w:tcPr>
            <w:tcW w:w="871" w:type="dxa"/>
            <w:vAlign w:val="center"/>
          </w:tcPr>
          <w:p w14:paraId="5C120304" w14:textId="77777777" w:rsidR="0005707E" w:rsidRPr="00CC6BE6" w:rsidRDefault="0005707E" w:rsidP="000121A5">
            <w:pPr>
              <w:jc w:val="center"/>
              <w:rPr>
                <w:sz w:val="17"/>
                <w:szCs w:val="17"/>
              </w:rPr>
            </w:pPr>
          </w:p>
        </w:tc>
        <w:tc>
          <w:tcPr>
            <w:tcW w:w="871" w:type="dxa"/>
            <w:vAlign w:val="center"/>
          </w:tcPr>
          <w:p w14:paraId="3A0A96CE" w14:textId="77777777" w:rsidR="0005707E" w:rsidRPr="00CC6BE6" w:rsidRDefault="0005707E" w:rsidP="000121A5">
            <w:pPr>
              <w:jc w:val="center"/>
              <w:rPr>
                <w:sz w:val="17"/>
                <w:szCs w:val="17"/>
              </w:rPr>
            </w:pPr>
          </w:p>
        </w:tc>
        <w:tc>
          <w:tcPr>
            <w:tcW w:w="871" w:type="dxa"/>
            <w:vAlign w:val="center"/>
          </w:tcPr>
          <w:p w14:paraId="43483B52" w14:textId="77777777" w:rsidR="0005707E" w:rsidRPr="00CC6BE6" w:rsidRDefault="0005707E" w:rsidP="000121A5">
            <w:pPr>
              <w:jc w:val="center"/>
              <w:rPr>
                <w:sz w:val="17"/>
                <w:szCs w:val="17"/>
              </w:rPr>
            </w:pPr>
          </w:p>
        </w:tc>
        <w:tc>
          <w:tcPr>
            <w:tcW w:w="850" w:type="dxa"/>
            <w:vAlign w:val="center"/>
          </w:tcPr>
          <w:p w14:paraId="45189480" w14:textId="77777777" w:rsidR="0005707E" w:rsidRPr="00CC6BE6" w:rsidRDefault="0005707E" w:rsidP="000121A5">
            <w:pPr>
              <w:jc w:val="center"/>
              <w:rPr>
                <w:sz w:val="17"/>
                <w:szCs w:val="17"/>
              </w:rPr>
            </w:pPr>
          </w:p>
        </w:tc>
        <w:tc>
          <w:tcPr>
            <w:tcW w:w="709" w:type="dxa"/>
            <w:vAlign w:val="center"/>
          </w:tcPr>
          <w:p w14:paraId="0CBE3038" w14:textId="77777777" w:rsidR="0005707E" w:rsidRPr="00CC6BE6" w:rsidRDefault="0005707E" w:rsidP="000121A5">
            <w:pPr>
              <w:jc w:val="center"/>
              <w:rPr>
                <w:sz w:val="17"/>
                <w:szCs w:val="17"/>
              </w:rPr>
            </w:pPr>
          </w:p>
        </w:tc>
      </w:tr>
      <w:tr w:rsidR="00A201A5" w:rsidRPr="00380DA5" w14:paraId="09F08AF8" w14:textId="533FD7E9" w:rsidTr="000C34D0">
        <w:tc>
          <w:tcPr>
            <w:tcW w:w="1276" w:type="dxa"/>
            <w:tcBorders>
              <w:right w:val="single" w:sz="4" w:space="0" w:color="auto"/>
            </w:tcBorders>
            <w:vAlign w:val="center"/>
          </w:tcPr>
          <w:p w14:paraId="210BA647" w14:textId="482AE4DD" w:rsidR="0005707E" w:rsidRPr="00B01254" w:rsidRDefault="0005707E" w:rsidP="000121A5">
            <w:pPr>
              <w:rPr>
                <w:sz w:val="13"/>
                <w:szCs w:val="13"/>
              </w:rPr>
            </w:pPr>
            <w:r w:rsidRPr="00B01254">
              <w:rPr>
                <w:sz w:val="13"/>
                <w:szCs w:val="13"/>
              </w:rPr>
              <w:t>Age</w:t>
            </w:r>
          </w:p>
        </w:tc>
        <w:tc>
          <w:tcPr>
            <w:tcW w:w="870" w:type="dxa"/>
            <w:tcBorders>
              <w:left w:val="single" w:sz="4" w:space="0" w:color="auto"/>
            </w:tcBorders>
            <w:vAlign w:val="center"/>
          </w:tcPr>
          <w:p w14:paraId="0A5FE18E" w14:textId="565DFE92" w:rsidR="0005707E" w:rsidRPr="00CC6BE6" w:rsidRDefault="0005707E" w:rsidP="000121A5">
            <w:pPr>
              <w:jc w:val="center"/>
              <w:rPr>
                <w:sz w:val="17"/>
                <w:szCs w:val="17"/>
              </w:rPr>
            </w:pPr>
            <w:r w:rsidRPr="00CC6BE6">
              <w:rPr>
                <w:sz w:val="17"/>
                <w:szCs w:val="17"/>
              </w:rPr>
              <w:t>-0.0</w:t>
            </w:r>
            <w:r w:rsidR="00FC7E7F">
              <w:rPr>
                <w:sz w:val="17"/>
                <w:szCs w:val="17"/>
              </w:rPr>
              <w:t>43</w:t>
            </w:r>
            <w:r w:rsidRPr="00CC6BE6">
              <w:rPr>
                <w:sz w:val="17"/>
                <w:szCs w:val="17"/>
              </w:rPr>
              <w:t>*</w:t>
            </w:r>
          </w:p>
        </w:tc>
        <w:tc>
          <w:tcPr>
            <w:tcW w:w="871" w:type="dxa"/>
            <w:vAlign w:val="center"/>
          </w:tcPr>
          <w:p w14:paraId="1B5CB5D1" w14:textId="775E9611" w:rsidR="0005707E" w:rsidRPr="00CC6BE6" w:rsidRDefault="004C352F" w:rsidP="000121A5">
            <w:pPr>
              <w:jc w:val="center"/>
              <w:rPr>
                <w:sz w:val="17"/>
                <w:szCs w:val="17"/>
              </w:rPr>
            </w:pPr>
            <w:r w:rsidRPr="00CC6BE6">
              <w:rPr>
                <w:sz w:val="17"/>
                <w:szCs w:val="17"/>
              </w:rPr>
              <w:t>-0.0</w:t>
            </w:r>
            <w:r w:rsidR="00225A91">
              <w:rPr>
                <w:sz w:val="17"/>
                <w:szCs w:val="17"/>
              </w:rPr>
              <w:t>53</w:t>
            </w:r>
            <w:r w:rsidRPr="00CC6BE6">
              <w:rPr>
                <w:sz w:val="17"/>
                <w:szCs w:val="17"/>
              </w:rPr>
              <w:t>*</w:t>
            </w:r>
          </w:p>
        </w:tc>
        <w:tc>
          <w:tcPr>
            <w:tcW w:w="871" w:type="dxa"/>
            <w:vAlign w:val="center"/>
          </w:tcPr>
          <w:p w14:paraId="4EB7D35D" w14:textId="6D4F17E2" w:rsidR="0005707E" w:rsidRPr="00CC6BE6" w:rsidRDefault="0021751C" w:rsidP="000121A5">
            <w:pPr>
              <w:jc w:val="center"/>
              <w:rPr>
                <w:sz w:val="17"/>
                <w:szCs w:val="17"/>
              </w:rPr>
            </w:pPr>
            <w:r w:rsidRPr="00CC6BE6">
              <w:rPr>
                <w:sz w:val="17"/>
                <w:szCs w:val="17"/>
              </w:rPr>
              <w:t>-0.0</w:t>
            </w:r>
            <w:r w:rsidR="00886D6B">
              <w:rPr>
                <w:sz w:val="17"/>
                <w:szCs w:val="17"/>
              </w:rPr>
              <w:t>69</w:t>
            </w:r>
            <w:r w:rsidRPr="00CC6BE6">
              <w:rPr>
                <w:sz w:val="17"/>
                <w:szCs w:val="17"/>
              </w:rPr>
              <w:t>*</w:t>
            </w:r>
          </w:p>
        </w:tc>
        <w:tc>
          <w:tcPr>
            <w:tcW w:w="871" w:type="dxa"/>
            <w:vAlign w:val="center"/>
          </w:tcPr>
          <w:p w14:paraId="7D3478B7" w14:textId="5FFA48DF" w:rsidR="0005707E" w:rsidRPr="00CC6BE6" w:rsidRDefault="007142C5" w:rsidP="000121A5">
            <w:pPr>
              <w:jc w:val="center"/>
              <w:rPr>
                <w:sz w:val="17"/>
                <w:szCs w:val="17"/>
              </w:rPr>
            </w:pPr>
            <w:r w:rsidRPr="00CC6BE6">
              <w:rPr>
                <w:sz w:val="17"/>
                <w:szCs w:val="17"/>
              </w:rPr>
              <w:t>-0.0</w:t>
            </w:r>
            <w:r w:rsidR="00FC4C64">
              <w:rPr>
                <w:sz w:val="17"/>
                <w:szCs w:val="17"/>
              </w:rPr>
              <w:t>28</w:t>
            </w:r>
            <w:r w:rsidRPr="00CC6BE6">
              <w:rPr>
                <w:sz w:val="17"/>
                <w:szCs w:val="17"/>
              </w:rPr>
              <w:t>*</w:t>
            </w:r>
          </w:p>
        </w:tc>
        <w:tc>
          <w:tcPr>
            <w:tcW w:w="870" w:type="dxa"/>
            <w:vAlign w:val="center"/>
          </w:tcPr>
          <w:p w14:paraId="6107EDD4" w14:textId="1FE09DAC" w:rsidR="0005707E" w:rsidRPr="00CC6BE6" w:rsidRDefault="004D1EE0" w:rsidP="000121A5">
            <w:pPr>
              <w:jc w:val="center"/>
              <w:rPr>
                <w:sz w:val="17"/>
                <w:szCs w:val="17"/>
              </w:rPr>
            </w:pPr>
            <w:r w:rsidRPr="00CC6BE6">
              <w:rPr>
                <w:sz w:val="17"/>
                <w:szCs w:val="17"/>
              </w:rPr>
              <w:t>0.021</w:t>
            </w:r>
          </w:p>
        </w:tc>
        <w:tc>
          <w:tcPr>
            <w:tcW w:w="871" w:type="dxa"/>
            <w:vAlign w:val="center"/>
          </w:tcPr>
          <w:p w14:paraId="083BC6D8" w14:textId="3D3D6A80" w:rsidR="0005707E" w:rsidRPr="00CC6BE6" w:rsidRDefault="0005707E" w:rsidP="000121A5">
            <w:pPr>
              <w:jc w:val="center"/>
              <w:rPr>
                <w:sz w:val="17"/>
                <w:szCs w:val="17"/>
              </w:rPr>
            </w:pPr>
            <w:r w:rsidRPr="00CC6BE6">
              <w:rPr>
                <w:sz w:val="17"/>
                <w:szCs w:val="17"/>
              </w:rPr>
              <w:t>1</w:t>
            </w:r>
          </w:p>
        </w:tc>
        <w:tc>
          <w:tcPr>
            <w:tcW w:w="871" w:type="dxa"/>
            <w:vAlign w:val="center"/>
          </w:tcPr>
          <w:p w14:paraId="7848045D" w14:textId="782B7FC5" w:rsidR="0005707E" w:rsidRPr="00CC6BE6" w:rsidRDefault="0005707E" w:rsidP="000121A5">
            <w:pPr>
              <w:jc w:val="center"/>
              <w:rPr>
                <w:sz w:val="17"/>
                <w:szCs w:val="17"/>
              </w:rPr>
            </w:pPr>
          </w:p>
        </w:tc>
        <w:tc>
          <w:tcPr>
            <w:tcW w:w="871" w:type="dxa"/>
            <w:vAlign w:val="center"/>
          </w:tcPr>
          <w:p w14:paraId="7DDC50F4" w14:textId="77777777" w:rsidR="0005707E" w:rsidRPr="00CC6BE6" w:rsidRDefault="0005707E" w:rsidP="000121A5">
            <w:pPr>
              <w:jc w:val="center"/>
              <w:rPr>
                <w:sz w:val="17"/>
                <w:szCs w:val="17"/>
              </w:rPr>
            </w:pPr>
          </w:p>
        </w:tc>
        <w:tc>
          <w:tcPr>
            <w:tcW w:w="871" w:type="dxa"/>
            <w:vAlign w:val="center"/>
          </w:tcPr>
          <w:p w14:paraId="081A9382" w14:textId="77777777" w:rsidR="0005707E" w:rsidRPr="00CC6BE6" w:rsidRDefault="0005707E" w:rsidP="000121A5">
            <w:pPr>
              <w:jc w:val="center"/>
              <w:rPr>
                <w:sz w:val="17"/>
                <w:szCs w:val="17"/>
              </w:rPr>
            </w:pPr>
          </w:p>
        </w:tc>
        <w:tc>
          <w:tcPr>
            <w:tcW w:w="870" w:type="dxa"/>
            <w:vAlign w:val="center"/>
          </w:tcPr>
          <w:p w14:paraId="7E99A73B" w14:textId="77777777" w:rsidR="0005707E" w:rsidRPr="00CC6BE6" w:rsidRDefault="0005707E" w:rsidP="000121A5">
            <w:pPr>
              <w:jc w:val="center"/>
              <w:rPr>
                <w:sz w:val="17"/>
                <w:szCs w:val="17"/>
              </w:rPr>
            </w:pPr>
          </w:p>
        </w:tc>
        <w:tc>
          <w:tcPr>
            <w:tcW w:w="871" w:type="dxa"/>
            <w:vAlign w:val="center"/>
          </w:tcPr>
          <w:p w14:paraId="67B18DCC" w14:textId="77777777" w:rsidR="0005707E" w:rsidRPr="00CC6BE6" w:rsidRDefault="0005707E" w:rsidP="000121A5">
            <w:pPr>
              <w:jc w:val="center"/>
              <w:rPr>
                <w:sz w:val="17"/>
                <w:szCs w:val="17"/>
              </w:rPr>
            </w:pPr>
          </w:p>
        </w:tc>
        <w:tc>
          <w:tcPr>
            <w:tcW w:w="871" w:type="dxa"/>
            <w:vAlign w:val="center"/>
          </w:tcPr>
          <w:p w14:paraId="2199C59F" w14:textId="77777777" w:rsidR="0005707E" w:rsidRPr="00CC6BE6" w:rsidRDefault="0005707E" w:rsidP="000121A5">
            <w:pPr>
              <w:jc w:val="center"/>
              <w:rPr>
                <w:sz w:val="17"/>
                <w:szCs w:val="17"/>
              </w:rPr>
            </w:pPr>
          </w:p>
        </w:tc>
        <w:tc>
          <w:tcPr>
            <w:tcW w:w="871" w:type="dxa"/>
            <w:vAlign w:val="center"/>
          </w:tcPr>
          <w:p w14:paraId="233F1791" w14:textId="77777777" w:rsidR="0005707E" w:rsidRPr="00CC6BE6" w:rsidRDefault="0005707E" w:rsidP="000121A5">
            <w:pPr>
              <w:jc w:val="center"/>
              <w:rPr>
                <w:sz w:val="17"/>
                <w:szCs w:val="17"/>
              </w:rPr>
            </w:pPr>
          </w:p>
        </w:tc>
        <w:tc>
          <w:tcPr>
            <w:tcW w:w="871" w:type="dxa"/>
            <w:vAlign w:val="center"/>
          </w:tcPr>
          <w:p w14:paraId="4677CEFF" w14:textId="77777777" w:rsidR="0005707E" w:rsidRPr="00CC6BE6" w:rsidRDefault="0005707E" w:rsidP="000121A5">
            <w:pPr>
              <w:jc w:val="center"/>
              <w:rPr>
                <w:sz w:val="17"/>
                <w:szCs w:val="17"/>
              </w:rPr>
            </w:pPr>
          </w:p>
        </w:tc>
        <w:tc>
          <w:tcPr>
            <w:tcW w:w="850" w:type="dxa"/>
            <w:vAlign w:val="center"/>
          </w:tcPr>
          <w:p w14:paraId="7D4CE4C0" w14:textId="77777777" w:rsidR="0005707E" w:rsidRPr="00CC6BE6" w:rsidRDefault="0005707E" w:rsidP="000121A5">
            <w:pPr>
              <w:jc w:val="center"/>
              <w:rPr>
                <w:sz w:val="17"/>
                <w:szCs w:val="17"/>
              </w:rPr>
            </w:pPr>
          </w:p>
        </w:tc>
        <w:tc>
          <w:tcPr>
            <w:tcW w:w="709" w:type="dxa"/>
            <w:vAlign w:val="center"/>
          </w:tcPr>
          <w:p w14:paraId="534AEBB2" w14:textId="77777777" w:rsidR="0005707E" w:rsidRPr="00CC6BE6" w:rsidRDefault="0005707E" w:rsidP="000121A5">
            <w:pPr>
              <w:jc w:val="center"/>
              <w:rPr>
                <w:sz w:val="17"/>
                <w:szCs w:val="17"/>
              </w:rPr>
            </w:pPr>
          </w:p>
        </w:tc>
      </w:tr>
      <w:tr w:rsidR="00A201A5" w:rsidRPr="00380DA5" w14:paraId="1A432DC1" w14:textId="12078A13" w:rsidTr="000C34D0">
        <w:tc>
          <w:tcPr>
            <w:tcW w:w="1276" w:type="dxa"/>
            <w:tcBorders>
              <w:right w:val="single" w:sz="4" w:space="0" w:color="auto"/>
            </w:tcBorders>
            <w:vAlign w:val="center"/>
          </w:tcPr>
          <w:p w14:paraId="1439143D" w14:textId="309ACEBF" w:rsidR="0005707E" w:rsidRPr="00B01254" w:rsidRDefault="0005707E" w:rsidP="000121A5">
            <w:pPr>
              <w:rPr>
                <w:sz w:val="13"/>
                <w:szCs w:val="13"/>
              </w:rPr>
            </w:pPr>
            <w:r w:rsidRPr="00B01254">
              <w:rPr>
                <w:sz w:val="13"/>
                <w:szCs w:val="13"/>
              </w:rPr>
              <w:t>Good health</w:t>
            </w:r>
          </w:p>
        </w:tc>
        <w:tc>
          <w:tcPr>
            <w:tcW w:w="870" w:type="dxa"/>
            <w:tcBorders>
              <w:left w:val="single" w:sz="4" w:space="0" w:color="auto"/>
            </w:tcBorders>
            <w:vAlign w:val="center"/>
          </w:tcPr>
          <w:p w14:paraId="6C101140" w14:textId="1A744BAF" w:rsidR="0005707E" w:rsidRPr="00CC6BE6" w:rsidRDefault="0005707E" w:rsidP="000121A5">
            <w:pPr>
              <w:jc w:val="center"/>
              <w:rPr>
                <w:sz w:val="17"/>
                <w:szCs w:val="17"/>
              </w:rPr>
            </w:pPr>
            <w:r w:rsidRPr="00CC6BE6">
              <w:rPr>
                <w:sz w:val="17"/>
                <w:szCs w:val="17"/>
              </w:rPr>
              <w:t>-0.176*</w:t>
            </w:r>
          </w:p>
        </w:tc>
        <w:tc>
          <w:tcPr>
            <w:tcW w:w="871" w:type="dxa"/>
            <w:vAlign w:val="center"/>
          </w:tcPr>
          <w:p w14:paraId="3F72B731" w14:textId="36CFF9E2" w:rsidR="0005707E" w:rsidRPr="00CC6BE6" w:rsidRDefault="004C352F" w:rsidP="000121A5">
            <w:pPr>
              <w:jc w:val="center"/>
              <w:rPr>
                <w:sz w:val="17"/>
                <w:szCs w:val="17"/>
              </w:rPr>
            </w:pPr>
            <w:r w:rsidRPr="00CC6BE6">
              <w:rPr>
                <w:sz w:val="17"/>
                <w:szCs w:val="17"/>
              </w:rPr>
              <w:t>-0.0</w:t>
            </w:r>
            <w:r w:rsidR="00225A91">
              <w:rPr>
                <w:sz w:val="17"/>
                <w:szCs w:val="17"/>
              </w:rPr>
              <w:t>18</w:t>
            </w:r>
            <w:r w:rsidRPr="00CC6BE6">
              <w:rPr>
                <w:sz w:val="17"/>
                <w:szCs w:val="17"/>
              </w:rPr>
              <w:t>*</w:t>
            </w:r>
          </w:p>
        </w:tc>
        <w:tc>
          <w:tcPr>
            <w:tcW w:w="871" w:type="dxa"/>
            <w:vAlign w:val="center"/>
          </w:tcPr>
          <w:p w14:paraId="2EEA9EDB" w14:textId="67FE6FE2" w:rsidR="0005707E" w:rsidRPr="00CC6BE6" w:rsidRDefault="0021751C" w:rsidP="000121A5">
            <w:pPr>
              <w:jc w:val="center"/>
              <w:rPr>
                <w:sz w:val="17"/>
                <w:szCs w:val="17"/>
              </w:rPr>
            </w:pPr>
            <w:r w:rsidRPr="00CC6BE6">
              <w:rPr>
                <w:sz w:val="17"/>
                <w:szCs w:val="17"/>
              </w:rPr>
              <w:t>-0.2</w:t>
            </w:r>
            <w:r w:rsidR="00886D6B">
              <w:rPr>
                <w:sz w:val="17"/>
                <w:szCs w:val="17"/>
              </w:rPr>
              <w:t>34</w:t>
            </w:r>
            <w:r w:rsidRPr="00CC6BE6">
              <w:rPr>
                <w:sz w:val="17"/>
                <w:szCs w:val="17"/>
              </w:rPr>
              <w:t>*</w:t>
            </w:r>
          </w:p>
        </w:tc>
        <w:tc>
          <w:tcPr>
            <w:tcW w:w="871" w:type="dxa"/>
            <w:vAlign w:val="center"/>
          </w:tcPr>
          <w:p w14:paraId="79DCF90B" w14:textId="22E53D9B" w:rsidR="0005707E" w:rsidRPr="00CC6BE6" w:rsidRDefault="007142C5" w:rsidP="000121A5">
            <w:pPr>
              <w:jc w:val="center"/>
              <w:rPr>
                <w:sz w:val="17"/>
                <w:szCs w:val="17"/>
              </w:rPr>
            </w:pPr>
            <w:r w:rsidRPr="00CC6BE6">
              <w:rPr>
                <w:sz w:val="17"/>
                <w:szCs w:val="17"/>
              </w:rPr>
              <w:t>0.</w:t>
            </w:r>
            <w:r w:rsidR="00FC4C64">
              <w:rPr>
                <w:sz w:val="17"/>
                <w:szCs w:val="17"/>
              </w:rPr>
              <w:t>350</w:t>
            </w:r>
            <w:r w:rsidRPr="00CC6BE6">
              <w:rPr>
                <w:sz w:val="17"/>
                <w:szCs w:val="17"/>
              </w:rPr>
              <w:t>*</w:t>
            </w:r>
          </w:p>
        </w:tc>
        <w:tc>
          <w:tcPr>
            <w:tcW w:w="870" w:type="dxa"/>
            <w:vAlign w:val="center"/>
          </w:tcPr>
          <w:p w14:paraId="2D4B11C2" w14:textId="3315EAA5" w:rsidR="0005707E" w:rsidRPr="00CC6BE6" w:rsidRDefault="004D1EE0" w:rsidP="000121A5">
            <w:pPr>
              <w:jc w:val="center"/>
              <w:rPr>
                <w:sz w:val="17"/>
                <w:szCs w:val="17"/>
              </w:rPr>
            </w:pPr>
            <w:r w:rsidRPr="00CC6BE6">
              <w:rPr>
                <w:sz w:val="17"/>
                <w:szCs w:val="17"/>
              </w:rPr>
              <w:t>-0.</w:t>
            </w:r>
            <w:r w:rsidR="002D6861">
              <w:rPr>
                <w:sz w:val="17"/>
                <w:szCs w:val="17"/>
              </w:rPr>
              <w:t>014</w:t>
            </w:r>
            <w:r w:rsidRPr="00CC6BE6">
              <w:rPr>
                <w:sz w:val="17"/>
                <w:szCs w:val="17"/>
              </w:rPr>
              <w:t>*</w:t>
            </w:r>
          </w:p>
        </w:tc>
        <w:tc>
          <w:tcPr>
            <w:tcW w:w="871" w:type="dxa"/>
            <w:vAlign w:val="center"/>
          </w:tcPr>
          <w:p w14:paraId="33F51592" w14:textId="39E710CD" w:rsidR="0005707E" w:rsidRPr="00CC6BE6" w:rsidRDefault="00B22A0D" w:rsidP="000121A5">
            <w:pPr>
              <w:jc w:val="center"/>
              <w:rPr>
                <w:sz w:val="17"/>
                <w:szCs w:val="17"/>
              </w:rPr>
            </w:pPr>
            <w:r w:rsidRPr="00CC6BE6">
              <w:rPr>
                <w:sz w:val="17"/>
                <w:szCs w:val="17"/>
              </w:rPr>
              <w:t>-0.20</w:t>
            </w:r>
            <w:r w:rsidR="007E6836">
              <w:rPr>
                <w:sz w:val="17"/>
                <w:szCs w:val="17"/>
              </w:rPr>
              <w:t>3</w:t>
            </w:r>
            <w:r w:rsidRPr="00CC6BE6">
              <w:rPr>
                <w:sz w:val="17"/>
                <w:szCs w:val="17"/>
              </w:rPr>
              <w:t>*</w:t>
            </w:r>
          </w:p>
        </w:tc>
        <w:tc>
          <w:tcPr>
            <w:tcW w:w="871" w:type="dxa"/>
            <w:vAlign w:val="center"/>
          </w:tcPr>
          <w:p w14:paraId="5C495090" w14:textId="37D1AF83" w:rsidR="0005707E" w:rsidRPr="00CC6BE6" w:rsidRDefault="0005707E" w:rsidP="000121A5">
            <w:pPr>
              <w:jc w:val="center"/>
              <w:rPr>
                <w:sz w:val="17"/>
                <w:szCs w:val="17"/>
              </w:rPr>
            </w:pPr>
            <w:r w:rsidRPr="00CC6BE6">
              <w:rPr>
                <w:sz w:val="17"/>
                <w:szCs w:val="17"/>
              </w:rPr>
              <w:t>1</w:t>
            </w:r>
          </w:p>
        </w:tc>
        <w:tc>
          <w:tcPr>
            <w:tcW w:w="871" w:type="dxa"/>
            <w:vAlign w:val="center"/>
          </w:tcPr>
          <w:p w14:paraId="03A48BF1" w14:textId="024713AE" w:rsidR="0005707E" w:rsidRPr="00CC6BE6" w:rsidRDefault="0005707E" w:rsidP="000121A5">
            <w:pPr>
              <w:jc w:val="center"/>
              <w:rPr>
                <w:sz w:val="17"/>
                <w:szCs w:val="17"/>
              </w:rPr>
            </w:pPr>
          </w:p>
        </w:tc>
        <w:tc>
          <w:tcPr>
            <w:tcW w:w="871" w:type="dxa"/>
            <w:vAlign w:val="center"/>
          </w:tcPr>
          <w:p w14:paraId="5A99580B" w14:textId="77777777" w:rsidR="0005707E" w:rsidRPr="00CC6BE6" w:rsidRDefault="0005707E" w:rsidP="000121A5">
            <w:pPr>
              <w:jc w:val="center"/>
              <w:rPr>
                <w:sz w:val="17"/>
                <w:szCs w:val="17"/>
              </w:rPr>
            </w:pPr>
          </w:p>
        </w:tc>
        <w:tc>
          <w:tcPr>
            <w:tcW w:w="870" w:type="dxa"/>
            <w:vAlign w:val="center"/>
          </w:tcPr>
          <w:p w14:paraId="47D38060" w14:textId="77777777" w:rsidR="0005707E" w:rsidRPr="00CC6BE6" w:rsidRDefault="0005707E" w:rsidP="000121A5">
            <w:pPr>
              <w:jc w:val="center"/>
              <w:rPr>
                <w:sz w:val="17"/>
                <w:szCs w:val="17"/>
              </w:rPr>
            </w:pPr>
          </w:p>
        </w:tc>
        <w:tc>
          <w:tcPr>
            <w:tcW w:w="871" w:type="dxa"/>
            <w:vAlign w:val="center"/>
          </w:tcPr>
          <w:p w14:paraId="17F0CFAC" w14:textId="77777777" w:rsidR="0005707E" w:rsidRPr="00CC6BE6" w:rsidRDefault="0005707E" w:rsidP="000121A5">
            <w:pPr>
              <w:jc w:val="center"/>
              <w:rPr>
                <w:sz w:val="17"/>
                <w:szCs w:val="17"/>
              </w:rPr>
            </w:pPr>
          </w:p>
        </w:tc>
        <w:tc>
          <w:tcPr>
            <w:tcW w:w="871" w:type="dxa"/>
            <w:vAlign w:val="center"/>
          </w:tcPr>
          <w:p w14:paraId="0C5BC970" w14:textId="77777777" w:rsidR="0005707E" w:rsidRPr="00CC6BE6" w:rsidRDefault="0005707E" w:rsidP="000121A5">
            <w:pPr>
              <w:jc w:val="center"/>
              <w:rPr>
                <w:sz w:val="17"/>
                <w:szCs w:val="17"/>
              </w:rPr>
            </w:pPr>
          </w:p>
        </w:tc>
        <w:tc>
          <w:tcPr>
            <w:tcW w:w="871" w:type="dxa"/>
            <w:vAlign w:val="center"/>
          </w:tcPr>
          <w:p w14:paraId="384B79E5" w14:textId="77777777" w:rsidR="0005707E" w:rsidRPr="00CC6BE6" w:rsidRDefault="0005707E" w:rsidP="000121A5">
            <w:pPr>
              <w:jc w:val="center"/>
              <w:rPr>
                <w:sz w:val="17"/>
                <w:szCs w:val="17"/>
              </w:rPr>
            </w:pPr>
          </w:p>
        </w:tc>
        <w:tc>
          <w:tcPr>
            <w:tcW w:w="871" w:type="dxa"/>
            <w:vAlign w:val="center"/>
          </w:tcPr>
          <w:p w14:paraId="42902679" w14:textId="77777777" w:rsidR="0005707E" w:rsidRPr="00CC6BE6" w:rsidRDefault="0005707E" w:rsidP="000121A5">
            <w:pPr>
              <w:jc w:val="center"/>
              <w:rPr>
                <w:sz w:val="17"/>
                <w:szCs w:val="17"/>
              </w:rPr>
            </w:pPr>
          </w:p>
        </w:tc>
        <w:tc>
          <w:tcPr>
            <w:tcW w:w="850" w:type="dxa"/>
            <w:vAlign w:val="center"/>
          </w:tcPr>
          <w:p w14:paraId="2F20D975" w14:textId="77777777" w:rsidR="0005707E" w:rsidRPr="00CC6BE6" w:rsidRDefault="0005707E" w:rsidP="000121A5">
            <w:pPr>
              <w:jc w:val="center"/>
              <w:rPr>
                <w:sz w:val="17"/>
                <w:szCs w:val="17"/>
              </w:rPr>
            </w:pPr>
          </w:p>
        </w:tc>
        <w:tc>
          <w:tcPr>
            <w:tcW w:w="709" w:type="dxa"/>
            <w:vAlign w:val="center"/>
          </w:tcPr>
          <w:p w14:paraId="4648C814" w14:textId="77777777" w:rsidR="0005707E" w:rsidRPr="00CC6BE6" w:rsidRDefault="0005707E" w:rsidP="000121A5">
            <w:pPr>
              <w:jc w:val="center"/>
              <w:rPr>
                <w:sz w:val="17"/>
                <w:szCs w:val="17"/>
              </w:rPr>
            </w:pPr>
          </w:p>
        </w:tc>
      </w:tr>
      <w:tr w:rsidR="00A201A5" w:rsidRPr="00380DA5" w14:paraId="0EF8D891" w14:textId="2F06E10B" w:rsidTr="000C34D0">
        <w:tc>
          <w:tcPr>
            <w:tcW w:w="1276" w:type="dxa"/>
            <w:tcBorders>
              <w:right w:val="single" w:sz="4" w:space="0" w:color="auto"/>
            </w:tcBorders>
            <w:vAlign w:val="center"/>
          </w:tcPr>
          <w:p w14:paraId="5F94D78D" w14:textId="3DFA54C5" w:rsidR="0005707E" w:rsidRPr="00B01254" w:rsidRDefault="0005707E" w:rsidP="000121A5">
            <w:pPr>
              <w:rPr>
                <w:sz w:val="13"/>
                <w:szCs w:val="13"/>
              </w:rPr>
            </w:pPr>
            <w:r w:rsidRPr="00B01254">
              <w:rPr>
                <w:sz w:val="13"/>
                <w:szCs w:val="13"/>
              </w:rPr>
              <w:t>Disability</w:t>
            </w:r>
          </w:p>
        </w:tc>
        <w:tc>
          <w:tcPr>
            <w:tcW w:w="870" w:type="dxa"/>
            <w:tcBorders>
              <w:left w:val="single" w:sz="4" w:space="0" w:color="auto"/>
            </w:tcBorders>
            <w:vAlign w:val="center"/>
          </w:tcPr>
          <w:p w14:paraId="1E3F0D32" w14:textId="6385AEF5" w:rsidR="0005707E" w:rsidRPr="00CC6BE6" w:rsidRDefault="0005707E" w:rsidP="000121A5">
            <w:pPr>
              <w:jc w:val="center"/>
              <w:rPr>
                <w:sz w:val="17"/>
                <w:szCs w:val="17"/>
              </w:rPr>
            </w:pPr>
            <w:r w:rsidRPr="00CC6BE6">
              <w:rPr>
                <w:sz w:val="17"/>
                <w:szCs w:val="17"/>
              </w:rPr>
              <w:t>0.1</w:t>
            </w:r>
            <w:r w:rsidR="00FC7E7F">
              <w:rPr>
                <w:sz w:val="17"/>
                <w:szCs w:val="17"/>
              </w:rPr>
              <w:t>42</w:t>
            </w:r>
            <w:r w:rsidRPr="00CC6BE6">
              <w:rPr>
                <w:sz w:val="17"/>
                <w:szCs w:val="17"/>
              </w:rPr>
              <w:t>*</w:t>
            </w:r>
          </w:p>
        </w:tc>
        <w:tc>
          <w:tcPr>
            <w:tcW w:w="871" w:type="dxa"/>
            <w:vAlign w:val="center"/>
          </w:tcPr>
          <w:p w14:paraId="73EA06F6" w14:textId="68A397C6" w:rsidR="0005707E" w:rsidRPr="00CC6BE6" w:rsidRDefault="004C352F" w:rsidP="000121A5">
            <w:pPr>
              <w:jc w:val="center"/>
              <w:rPr>
                <w:sz w:val="17"/>
                <w:szCs w:val="17"/>
              </w:rPr>
            </w:pPr>
            <w:r w:rsidRPr="00CC6BE6">
              <w:rPr>
                <w:sz w:val="17"/>
                <w:szCs w:val="17"/>
              </w:rPr>
              <w:t>0.</w:t>
            </w:r>
            <w:r w:rsidR="00225A91">
              <w:rPr>
                <w:sz w:val="17"/>
                <w:szCs w:val="17"/>
              </w:rPr>
              <w:t>155</w:t>
            </w:r>
            <w:r w:rsidRPr="00CC6BE6">
              <w:rPr>
                <w:sz w:val="17"/>
                <w:szCs w:val="17"/>
              </w:rPr>
              <w:t>*</w:t>
            </w:r>
          </w:p>
        </w:tc>
        <w:tc>
          <w:tcPr>
            <w:tcW w:w="871" w:type="dxa"/>
            <w:vAlign w:val="center"/>
          </w:tcPr>
          <w:p w14:paraId="7419F65D" w14:textId="5137DA5E" w:rsidR="0005707E" w:rsidRPr="00CC6BE6" w:rsidRDefault="0021751C" w:rsidP="000121A5">
            <w:pPr>
              <w:jc w:val="center"/>
              <w:rPr>
                <w:sz w:val="17"/>
                <w:szCs w:val="17"/>
              </w:rPr>
            </w:pPr>
            <w:r w:rsidRPr="00CC6BE6">
              <w:rPr>
                <w:sz w:val="17"/>
                <w:szCs w:val="17"/>
              </w:rPr>
              <w:t>0.</w:t>
            </w:r>
            <w:r w:rsidR="00074094">
              <w:rPr>
                <w:sz w:val="17"/>
                <w:szCs w:val="17"/>
              </w:rPr>
              <w:t>217</w:t>
            </w:r>
            <w:r w:rsidRPr="00CC6BE6">
              <w:rPr>
                <w:sz w:val="17"/>
                <w:szCs w:val="17"/>
              </w:rPr>
              <w:t>*</w:t>
            </w:r>
          </w:p>
        </w:tc>
        <w:tc>
          <w:tcPr>
            <w:tcW w:w="871" w:type="dxa"/>
            <w:vAlign w:val="center"/>
          </w:tcPr>
          <w:p w14:paraId="230D3650" w14:textId="6A688A75" w:rsidR="0005707E" w:rsidRPr="00CC6BE6" w:rsidRDefault="007142C5" w:rsidP="000121A5">
            <w:pPr>
              <w:jc w:val="center"/>
              <w:rPr>
                <w:sz w:val="17"/>
                <w:szCs w:val="17"/>
              </w:rPr>
            </w:pPr>
            <w:r w:rsidRPr="00CC6BE6">
              <w:rPr>
                <w:sz w:val="17"/>
                <w:szCs w:val="17"/>
              </w:rPr>
              <w:t>-0.</w:t>
            </w:r>
            <w:r w:rsidR="00FE639C">
              <w:rPr>
                <w:sz w:val="17"/>
                <w:szCs w:val="17"/>
              </w:rPr>
              <w:t>254</w:t>
            </w:r>
            <w:r w:rsidRPr="00CC6BE6">
              <w:rPr>
                <w:sz w:val="17"/>
                <w:szCs w:val="17"/>
              </w:rPr>
              <w:t>*</w:t>
            </w:r>
          </w:p>
        </w:tc>
        <w:tc>
          <w:tcPr>
            <w:tcW w:w="870" w:type="dxa"/>
            <w:vAlign w:val="center"/>
          </w:tcPr>
          <w:p w14:paraId="4CE95D86" w14:textId="68DC8AE2" w:rsidR="0005707E" w:rsidRPr="00CC6BE6" w:rsidRDefault="004D1EE0" w:rsidP="000121A5">
            <w:pPr>
              <w:jc w:val="center"/>
              <w:rPr>
                <w:sz w:val="17"/>
                <w:szCs w:val="17"/>
              </w:rPr>
            </w:pPr>
            <w:r w:rsidRPr="00CC6BE6">
              <w:rPr>
                <w:sz w:val="17"/>
                <w:szCs w:val="17"/>
              </w:rPr>
              <w:t>0.0</w:t>
            </w:r>
            <w:r w:rsidR="002D6861">
              <w:rPr>
                <w:sz w:val="17"/>
                <w:szCs w:val="17"/>
              </w:rPr>
              <w:t>3</w:t>
            </w:r>
            <w:r w:rsidRPr="00CC6BE6">
              <w:rPr>
                <w:sz w:val="17"/>
                <w:szCs w:val="17"/>
              </w:rPr>
              <w:t>6*</w:t>
            </w:r>
          </w:p>
        </w:tc>
        <w:tc>
          <w:tcPr>
            <w:tcW w:w="871" w:type="dxa"/>
            <w:vAlign w:val="center"/>
          </w:tcPr>
          <w:p w14:paraId="2FB5BBF1" w14:textId="5FADB548" w:rsidR="0005707E" w:rsidRPr="00CC6BE6" w:rsidRDefault="00B22A0D" w:rsidP="000121A5">
            <w:pPr>
              <w:jc w:val="center"/>
              <w:rPr>
                <w:sz w:val="17"/>
                <w:szCs w:val="17"/>
              </w:rPr>
            </w:pPr>
            <w:r w:rsidRPr="00CC6BE6">
              <w:rPr>
                <w:sz w:val="17"/>
                <w:szCs w:val="17"/>
              </w:rPr>
              <w:t>0.2</w:t>
            </w:r>
            <w:r w:rsidR="007E6836">
              <w:rPr>
                <w:sz w:val="17"/>
                <w:szCs w:val="17"/>
              </w:rPr>
              <w:t>21</w:t>
            </w:r>
            <w:r w:rsidRPr="00CC6BE6">
              <w:rPr>
                <w:sz w:val="17"/>
                <w:szCs w:val="17"/>
              </w:rPr>
              <w:t>*</w:t>
            </w:r>
          </w:p>
        </w:tc>
        <w:tc>
          <w:tcPr>
            <w:tcW w:w="871" w:type="dxa"/>
            <w:vAlign w:val="center"/>
          </w:tcPr>
          <w:p w14:paraId="69F7D35B" w14:textId="24E21347" w:rsidR="0005707E" w:rsidRPr="00CC6BE6" w:rsidRDefault="007239CE" w:rsidP="000121A5">
            <w:pPr>
              <w:jc w:val="center"/>
              <w:rPr>
                <w:sz w:val="17"/>
                <w:szCs w:val="17"/>
              </w:rPr>
            </w:pPr>
            <w:r w:rsidRPr="00CC6BE6">
              <w:rPr>
                <w:sz w:val="17"/>
                <w:szCs w:val="17"/>
              </w:rPr>
              <w:t>-0.53</w:t>
            </w:r>
            <w:r w:rsidR="002654EB">
              <w:rPr>
                <w:sz w:val="17"/>
                <w:szCs w:val="17"/>
              </w:rPr>
              <w:t>2</w:t>
            </w:r>
            <w:r w:rsidRPr="00CC6BE6">
              <w:rPr>
                <w:sz w:val="17"/>
                <w:szCs w:val="17"/>
              </w:rPr>
              <w:t>*</w:t>
            </w:r>
          </w:p>
        </w:tc>
        <w:tc>
          <w:tcPr>
            <w:tcW w:w="871" w:type="dxa"/>
            <w:vAlign w:val="center"/>
          </w:tcPr>
          <w:p w14:paraId="63743CD9" w14:textId="7BCA9A94" w:rsidR="0005707E" w:rsidRPr="00CC6BE6" w:rsidRDefault="0005707E" w:rsidP="000121A5">
            <w:pPr>
              <w:jc w:val="center"/>
              <w:rPr>
                <w:sz w:val="17"/>
                <w:szCs w:val="17"/>
              </w:rPr>
            </w:pPr>
            <w:r w:rsidRPr="00CC6BE6">
              <w:rPr>
                <w:sz w:val="17"/>
                <w:szCs w:val="17"/>
              </w:rPr>
              <w:t>1</w:t>
            </w:r>
          </w:p>
        </w:tc>
        <w:tc>
          <w:tcPr>
            <w:tcW w:w="871" w:type="dxa"/>
            <w:vAlign w:val="center"/>
          </w:tcPr>
          <w:p w14:paraId="7D4F3528" w14:textId="26990B97" w:rsidR="0005707E" w:rsidRPr="00CC6BE6" w:rsidRDefault="0005707E" w:rsidP="000121A5">
            <w:pPr>
              <w:jc w:val="center"/>
              <w:rPr>
                <w:sz w:val="17"/>
                <w:szCs w:val="17"/>
              </w:rPr>
            </w:pPr>
          </w:p>
        </w:tc>
        <w:tc>
          <w:tcPr>
            <w:tcW w:w="870" w:type="dxa"/>
            <w:vAlign w:val="center"/>
          </w:tcPr>
          <w:p w14:paraId="62B7480C" w14:textId="77777777" w:rsidR="0005707E" w:rsidRPr="00CC6BE6" w:rsidRDefault="0005707E" w:rsidP="000121A5">
            <w:pPr>
              <w:jc w:val="center"/>
              <w:rPr>
                <w:sz w:val="17"/>
                <w:szCs w:val="17"/>
              </w:rPr>
            </w:pPr>
          </w:p>
        </w:tc>
        <w:tc>
          <w:tcPr>
            <w:tcW w:w="871" w:type="dxa"/>
            <w:vAlign w:val="center"/>
          </w:tcPr>
          <w:p w14:paraId="2C53F2C4" w14:textId="77777777" w:rsidR="0005707E" w:rsidRPr="00CC6BE6" w:rsidRDefault="0005707E" w:rsidP="000121A5">
            <w:pPr>
              <w:jc w:val="center"/>
              <w:rPr>
                <w:sz w:val="17"/>
                <w:szCs w:val="17"/>
              </w:rPr>
            </w:pPr>
          </w:p>
        </w:tc>
        <w:tc>
          <w:tcPr>
            <w:tcW w:w="871" w:type="dxa"/>
            <w:vAlign w:val="center"/>
          </w:tcPr>
          <w:p w14:paraId="2B950D17" w14:textId="77777777" w:rsidR="0005707E" w:rsidRPr="00CC6BE6" w:rsidRDefault="0005707E" w:rsidP="000121A5">
            <w:pPr>
              <w:jc w:val="center"/>
              <w:rPr>
                <w:sz w:val="17"/>
                <w:szCs w:val="17"/>
              </w:rPr>
            </w:pPr>
          </w:p>
        </w:tc>
        <w:tc>
          <w:tcPr>
            <w:tcW w:w="871" w:type="dxa"/>
            <w:vAlign w:val="center"/>
          </w:tcPr>
          <w:p w14:paraId="1023F490" w14:textId="77777777" w:rsidR="0005707E" w:rsidRPr="00CC6BE6" w:rsidRDefault="0005707E" w:rsidP="000121A5">
            <w:pPr>
              <w:jc w:val="center"/>
              <w:rPr>
                <w:sz w:val="17"/>
                <w:szCs w:val="17"/>
              </w:rPr>
            </w:pPr>
          </w:p>
        </w:tc>
        <w:tc>
          <w:tcPr>
            <w:tcW w:w="871" w:type="dxa"/>
            <w:vAlign w:val="center"/>
          </w:tcPr>
          <w:p w14:paraId="4E69FD8C" w14:textId="77777777" w:rsidR="0005707E" w:rsidRPr="00CC6BE6" w:rsidRDefault="0005707E" w:rsidP="000121A5">
            <w:pPr>
              <w:jc w:val="center"/>
              <w:rPr>
                <w:sz w:val="17"/>
                <w:szCs w:val="17"/>
              </w:rPr>
            </w:pPr>
          </w:p>
        </w:tc>
        <w:tc>
          <w:tcPr>
            <w:tcW w:w="850" w:type="dxa"/>
            <w:vAlign w:val="center"/>
          </w:tcPr>
          <w:p w14:paraId="5330B767" w14:textId="77777777" w:rsidR="0005707E" w:rsidRPr="00CC6BE6" w:rsidRDefault="0005707E" w:rsidP="000121A5">
            <w:pPr>
              <w:jc w:val="center"/>
              <w:rPr>
                <w:sz w:val="17"/>
                <w:szCs w:val="17"/>
              </w:rPr>
            </w:pPr>
          </w:p>
        </w:tc>
        <w:tc>
          <w:tcPr>
            <w:tcW w:w="709" w:type="dxa"/>
            <w:vAlign w:val="center"/>
          </w:tcPr>
          <w:p w14:paraId="35F44288" w14:textId="77777777" w:rsidR="0005707E" w:rsidRPr="00CC6BE6" w:rsidRDefault="0005707E" w:rsidP="000121A5">
            <w:pPr>
              <w:jc w:val="center"/>
              <w:rPr>
                <w:sz w:val="17"/>
                <w:szCs w:val="17"/>
              </w:rPr>
            </w:pPr>
          </w:p>
        </w:tc>
      </w:tr>
      <w:tr w:rsidR="00A201A5" w:rsidRPr="00380DA5" w14:paraId="1794129F" w14:textId="5A836B44" w:rsidTr="000C34D0">
        <w:tc>
          <w:tcPr>
            <w:tcW w:w="1276" w:type="dxa"/>
            <w:tcBorders>
              <w:right w:val="single" w:sz="4" w:space="0" w:color="auto"/>
            </w:tcBorders>
            <w:vAlign w:val="center"/>
          </w:tcPr>
          <w:p w14:paraId="644B20CE" w14:textId="4792EC2C" w:rsidR="0005707E" w:rsidRPr="00B01254" w:rsidRDefault="0005707E" w:rsidP="000121A5">
            <w:pPr>
              <w:rPr>
                <w:sz w:val="13"/>
                <w:szCs w:val="13"/>
              </w:rPr>
            </w:pPr>
            <w:r w:rsidRPr="00B01254">
              <w:rPr>
                <w:sz w:val="13"/>
                <w:szCs w:val="13"/>
              </w:rPr>
              <w:t>Not born in Ireland</w:t>
            </w:r>
          </w:p>
        </w:tc>
        <w:tc>
          <w:tcPr>
            <w:tcW w:w="870" w:type="dxa"/>
            <w:tcBorders>
              <w:left w:val="single" w:sz="4" w:space="0" w:color="auto"/>
            </w:tcBorders>
            <w:vAlign w:val="center"/>
          </w:tcPr>
          <w:p w14:paraId="7B98E699" w14:textId="2C4A3219" w:rsidR="0005707E" w:rsidRPr="00CC6BE6" w:rsidRDefault="0005707E" w:rsidP="000121A5">
            <w:pPr>
              <w:jc w:val="center"/>
              <w:rPr>
                <w:sz w:val="17"/>
                <w:szCs w:val="17"/>
              </w:rPr>
            </w:pPr>
            <w:r w:rsidRPr="00CC6BE6">
              <w:rPr>
                <w:sz w:val="17"/>
                <w:szCs w:val="17"/>
              </w:rPr>
              <w:t>0.0</w:t>
            </w:r>
            <w:r w:rsidR="00FC7E7F">
              <w:rPr>
                <w:sz w:val="17"/>
                <w:szCs w:val="17"/>
              </w:rPr>
              <w:t>32</w:t>
            </w:r>
            <w:r w:rsidRPr="00CC6BE6">
              <w:rPr>
                <w:sz w:val="17"/>
                <w:szCs w:val="17"/>
              </w:rPr>
              <w:t>*</w:t>
            </w:r>
          </w:p>
        </w:tc>
        <w:tc>
          <w:tcPr>
            <w:tcW w:w="871" w:type="dxa"/>
            <w:vAlign w:val="center"/>
          </w:tcPr>
          <w:p w14:paraId="33D37711" w14:textId="76043EC2" w:rsidR="0005707E" w:rsidRPr="00CC6BE6" w:rsidRDefault="004C352F" w:rsidP="000121A5">
            <w:pPr>
              <w:jc w:val="center"/>
              <w:rPr>
                <w:sz w:val="17"/>
                <w:szCs w:val="17"/>
              </w:rPr>
            </w:pPr>
            <w:r w:rsidRPr="00CC6BE6">
              <w:rPr>
                <w:sz w:val="17"/>
                <w:szCs w:val="17"/>
              </w:rPr>
              <w:t>0.0</w:t>
            </w:r>
            <w:r w:rsidR="00225A91">
              <w:rPr>
                <w:sz w:val="17"/>
                <w:szCs w:val="17"/>
              </w:rPr>
              <w:t>15</w:t>
            </w:r>
          </w:p>
        </w:tc>
        <w:tc>
          <w:tcPr>
            <w:tcW w:w="871" w:type="dxa"/>
            <w:vAlign w:val="center"/>
          </w:tcPr>
          <w:p w14:paraId="528B87D7" w14:textId="54996F68" w:rsidR="0005707E" w:rsidRPr="00CC6BE6" w:rsidRDefault="00074094" w:rsidP="000121A5">
            <w:pPr>
              <w:jc w:val="center"/>
              <w:rPr>
                <w:sz w:val="17"/>
                <w:szCs w:val="17"/>
              </w:rPr>
            </w:pPr>
            <w:r>
              <w:rPr>
                <w:sz w:val="17"/>
                <w:szCs w:val="17"/>
              </w:rPr>
              <w:t>-</w:t>
            </w:r>
            <w:r w:rsidR="0021751C" w:rsidRPr="00CC6BE6">
              <w:rPr>
                <w:sz w:val="17"/>
                <w:szCs w:val="17"/>
              </w:rPr>
              <w:t>0.00</w:t>
            </w:r>
            <w:r>
              <w:rPr>
                <w:sz w:val="17"/>
                <w:szCs w:val="17"/>
              </w:rPr>
              <w:t>3</w:t>
            </w:r>
          </w:p>
        </w:tc>
        <w:tc>
          <w:tcPr>
            <w:tcW w:w="871" w:type="dxa"/>
            <w:vAlign w:val="center"/>
          </w:tcPr>
          <w:p w14:paraId="4DE71394" w14:textId="41930524" w:rsidR="0005707E" w:rsidRPr="00CC6BE6" w:rsidRDefault="007142C5" w:rsidP="000121A5">
            <w:pPr>
              <w:jc w:val="center"/>
              <w:rPr>
                <w:sz w:val="17"/>
                <w:szCs w:val="17"/>
              </w:rPr>
            </w:pPr>
            <w:r w:rsidRPr="00CC6BE6">
              <w:rPr>
                <w:sz w:val="17"/>
                <w:szCs w:val="17"/>
              </w:rPr>
              <w:t>0.02</w:t>
            </w:r>
            <w:r w:rsidR="00FE639C">
              <w:rPr>
                <w:sz w:val="17"/>
                <w:szCs w:val="17"/>
              </w:rPr>
              <w:t>6*</w:t>
            </w:r>
          </w:p>
        </w:tc>
        <w:tc>
          <w:tcPr>
            <w:tcW w:w="870" w:type="dxa"/>
            <w:vAlign w:val="center"/>
          </w:tcPr>
          <w:p w14:paraId="34E6F1C1" w14:textId="7FD89CDF" w:rsidR="0005707E" w:rsidRPr="00CC6BE6" w:rsidRDefault="004D1EE0" w:rsidP="000121A5">
            <w:pPr>
              <w:jc w:val="center"/>
              <w:rPr>
                <w:sz w:val="17"/>
                <w:szCs w:val="17"/>
              </w:rPr>
            </w:pPr>
            <w:r w:rsidRPr="00CC6BE6">
              <w:rPr>
                <w:sz w:val="17"/>
                <w:szCs w:val="17"/>
              </w:rPr>
              <w:t>0.00</w:t>
            </w:r>
            <w:r w:rsidR="002D6861">
              <w:rPr>
                <w:sz w:val="17"/>
                <w:szCs w:val="17"/>
              </w:rPr>
              <w:t>6</w:t>
            </w:r>
          </w:p>
        </w:tc>
        <w:tc>
          <w:tcPr>
            <w:tcW w:w="871" w:type="dxa"/>
            <w:vAlign w:val="center"/>
          </w:tcPr>
          <w:p w14:paraId="1AD53C8D" w14:textId="3E14128A" w:rsidR="0005707E" w:rsidRPr="00CC6BE6" w:rsidRDefault="00B22A0D" w:rsidP="000121A5">
            <w:pPr>
              <w:jc w:val="center"/>
              <w:rPr>
                <w:sz w:val="17"/>
                <w:szCs w:val="17"/>
              </w:rPr>
            </w:pPr>
            <w:r w:rsidRPr="00CC6BE6">
              <w:rPr>
                <w:sz w:val="17"/>
                <w:szCs w:val="17"/>
              </w:rPr>
              <w:t>-0.</w:t>
            </w:r>
            <w:r w:rsidR="007E6836">
              <w:rPr>
                <w:sz w:val="17"/>
                <w:szCs w:val="17"/>
              </w:rPr>
              <w:t>183</w:t>
            </w:r>
            <w:r w:rsidRPr="00CC6BE6">
              <w:rPr>
                <w:sz w:val="17"/>
                <w:szCs w:val="17"/>
              </w:rPr>
              <w:t>*</w:t>
            </w:r>
          </w:p>
        </w:tc>
        <w:tc>
          <w:tcPr>
            <w:tcW w:w="871" w:type="dxa"/>
            <w:vAlign w:val="center"/>
          </w:tcPr>
          <w:p w14:paraId="0180B2FC" w14:textId="39A6AA79" w:rsidR="0005707E" w:rsidRPr="00CC6BE6" w:rsidRDefault="007239CE" w:rsidP="000121A5">
            <w:pPr>
              <w:jc w:val="center"/>
              <w:rPr>
                <w:sz w:val="17"/>
                <w:szCs w:val="17"/>
              </w:rPr>
            </w:pPr>
            <w:r w:rsidRPr="00CC6BE6">
              <w:rPr>
                <w:sz w:val="17"/>
                <w:szCs w:val="17"/>
              </w:rPr>
              <w:t>0.0</w:t>
            </w:r>
            <w:r w:rsidR="002654EB">
              <w:rPr>
                <w:sz w:val="17"/>
                <w:szCs w:val="17"/>
              </w:rPr>
              <w:t>57</w:t>
            </w:r>
            <w:r w:rsidRPr="00CC6BE6">
              <w:rPr>
                <w:sz w:val="17"/>
                <w:szCs w:val="17"/>
              </w:rPr>
              <w:t>*</w:t>
            </w:r>
          </w:p>
        </w:tc>
        <w:tc>
          <w:tcPr>
            <w:tcW w:w="871" w:type="dxa"/>
            <w:vAlign w:val="center"/>
          </w:tcPr>
          <w:p w14:paraId="415F2525" w14:textId="027E82F7" w:rsidR="0005707E" w:rsidRPr="00CC6BE6" w:rsidRDefault="007239CE" w:rsidP="000121A5">
            <w:pPr>
              <w:jc w:val="center"/>
              <w:rPr>
                <w:sz w:val="17"/>
                <w:szCs w:val="17"/>
              </w:rPr>
            </w:pPr>
            <w:r w:rsidRPr="00CC6BE6">
              <w:rPr>
                <w:sz w:val="17"/>
                <w:szCs w:val="17"/>
              </w:rPr>
              <w:t>-</w:t>
            </w:r>
            <w:r w:rsidR="00D33C72" w:rsidRPr="00CC6BE6">
              <w:rPr>
                <w:sz w:val="17"/>
                <w:szCs w:val="17"/>
              </w:rPr>
              <w:t>0.</w:t>
            </w:r>
            <w:r w:rsidR="00C03479">
              <w:rPr>
                <w:sz w:val="17"/>
                <w:szCs w:val="17"/>
              </w:rPr>
              <w:t>061</w:t>
            </w:r>
            <w:r w:rsidR="00D33C72" w:rsidRPr="00CC6BE6">
              <w:rPr>
                <w:sz w:val="17"/>
                <w:szCs w:val="17"/>
              </w:rPr>
              <w:t>*</w:t>
            </w:r>
          </w:p>
        </w:tc>
        <w:tc>
          <w:tcPr>
            <w:tcW w:w="871" w:type="dxa"/>
            <w:vAlign w:val="center"/>
          </w:tcPr>
          <w:p w14:paraId="7A20CDBD" w14:textId="585E78F2" w:rsidR="0005707E" w:rsidRPr="00CC6BE6" w:rsidRDefault="0005707E" w:rsidP="000121A5">
            <w:pPr>
              <w:jc w:val="center"/>
              <w:rPr>
                <w:sz w:val="17"/>
                <w:szCs w:val="17"/>
              </w:rPr>
            </w:pPr>
            <w:r w:rsidRPr="00CC6BE6">
              <w:rPr>
                <w:sz w:val="17"/>
                <w:szCs w:val="17"/>
              </w:rPr>
              <w:t>1</w:t>
            </w:r>
          </w:p>
        </w:tc>
        <w:tc>
          <w:tcPr>
            <w:tcW w:w="870" w:type="dxa"/>
            <w:vAlign w:val="center"/>
          </w:tcPr>
          <w:p w14:paraId="5781B409" w14:textId="3B52B4A1" w:rsidR="0005707E" w:rsidRPr="00CC6BE6" w:rsidRDefault="0005707E" w:rsidP="000121A5">
            <w:pPr>
              <w:jc w:val="center"/>
              <w:rPr>
                <w:sz w:val="17"/>
                <w:szCs w:val="17"/>
              </w:rPr>
            </w:pPr>
          </w:p>
        </w:tc>
        <w:tc>
          <w:tcPr>
            <w:tcW w:w="871" w:type="dxa"/>
            <w:vAlign w:val="center"/>
          </w:tcPr>
          <w:p w14:paraId="25E49829" w14:textId="77777777" w:rsidR="0005707E" w:rsidRPr="00CC6BE6" w:rsidRDefault="0005707E" w:rsidP="000121A5">
            <w:pPr>
              <w:jc w:val="center"/>
              <w:rPr>
                <w:sz w:val="17"/>
                <w:szCs w:val="17"/>
              </w:rPr>
            </w:pPr>
          </w:p>
        </w:tc>
        <w:tc>
          <w:tcPr>
            <w:tcW w:w="871" w:type="dxa"/>
            <w:vAlign w:val="center"/>
          </w:tcPr>
          <w:p w14:paraId="4DAE1D08" w14:textId="77777777" w:rsidR="0005707E" w:rsidRPr="00CC6BE6" w:rsidRDefault="0005707E" w:rsidP="000121A5">
            <w:pPr>
              <w:jc w:val="center"/>
              <w:rPr>
                <w:sz w:val="17"/>
                <w:szCs w:val="17"/>
              </w:rPr>
            </w:pPr>
          </w:p>
        </w:tc>
        <w:tc>
          <w:tcPr>
            <w:tcW w:w="871" w:type="dxa"/>
            <w:vAlign w:val="center"/>
          </w:tcPr>
          <w:p w14:paraId="2B9CA854" w14:textId="77777777" w:rsidR="0005707E" w:rsidRPr="00CC6BE6" w:rsidRDefault="0005707E" w:rsidP="000121A5">
            <w:pPr>
              <w:jc w:val="center"/>
              <w:rPr>
                <w:sz w:val="17"/>
                <w:szCs w:val="17"/>
              </w:rPr>
            </w:pPr>
          </w:p>
        </w:tc>
        <w:tc>
          <w:tcPr>
            <w:tcW w:w="871" w:type="dxa"/>
            <w:vAlign w:val="center"/>
          </w:tcPr>
          <w:p w14:paraId="33F271FD" w14:textId="77777777" w:rsidR="0005707E" w:rsidRPr="00CC6BE6" w:rsidRDefault="0005707E" w:rsidP="000121A5">
            <w:pPr>
              <w:jc w:val="center"/>
              <w:rPr>
                <w:sz w:val="17"/>
                <w:szCs w:val="17"/>
              </w:rPr>
            </w:pPr>
          </w:p>
        </w:tc>
        <w:tc>
          <w:tcPr>
            <w:tcW w:w="850" w:type="dxa"/>
            <w:vAlign w:val="center"/>
          </w:tcPr>
          <w:p w14:paraId="770BB7B8" w14:textId="77777777" w:rsidR="0005707E" w:rsidRPr="00CC6BE6" w:rsidRDefault="0005707E" w:rsidP="000121A5">
            <w:pPr>
              <w:jc w:val="center"/>
              <w:rPr>
                <w:sz w:val="17"/>
                <w:szCs w:val="17"/>
              </w:rPr>
            </w:pPr>
          </w:p>
        </w:tc>
        <w:tc>
          <w:tcPr>
            <w:tcW w:w="709" w:type="dxa"/>
            <w:vAlign w:val="center"/>
          </w:tcPr>
          <w:p w14:paraId="7EB6E352" w14:textId="77777777" w:rsidR="0005707E" w:rsidRPr="00CC6BE6" w:rsidRDefault="0005707E" w:rsidP="000121A5">
            <w:pPr>
              <w:jc w:val="center"/>
              <w:rPr>
                <w:sz w:val="17"/>
                <w:szCs w:val="17"/>
              </w:rPr>
            </w:pPr>
          </w:p>
        </w:tc>
      </w:tr>
      <w:tr w:rsidR="00A201A5" w:rsidRPr="00380DA5" w14:paraId="259675D0" w14:textId="260A425C" w:rsidTr="000C34D0">
        <w:tc>
          <w:tcPr>
            <w:tcW w:w="1276" w:type="dxa"/>
            <w:tcBorders>
              <w:right w:val="single" w:sz="4" w:space="0" w:color="auto"/>
            </w:tcBorders>
            <w:vAlign w:val="center"/>
          </w:tcPr>
          <w:p w14:paraId="6AAB2D9D" w14:textId="6A7B2F52" w:rsidR="0005707E" w:rsidRPr="00B01254" w:rsidRDefault="0005707E" w:rsidP="000121A5">
            <w:pPr>
              <w:rPr>
                <w:sz w:val="13"/>
                <w:szCs w:val="13"/>
              </w:rPr>
            </w:pPr>
            <w:r w:rsidRPr="00B01254">
              <w:rPr>
                <w:sz w:val="13"/>
                <w:szCs w:val="13"/>
              </w:rPr>
              <w:t>Marital status</w:t>
            </w:r>
          </w:p>
        </w:tc>
        <w:tc>
          <w:tcPr>
            <w:tcW w:w="870" w:type="dxa"/>
            <w:tcBorders>
              <w:left w:val="single" w:sz="4" w:space="0" w:color="auto"/>
            </w:tcBorders>
            <w:vAlign w:val="center"/>
          </w:tcPr>
          <w:p w14:paraId="269B0C25" w14:textId="16FFA1F3" w:rsidR="0005707E" w:rsidRPr="00CC6BE6" w:rsidRDefault="0005707E" w:rsidP="000121A5">
            <w:pPr>
              <w:jc w:val="center"/>
              <w:rPr>
                <w:sz w:val="17"/>
                <w:szCs w:val="17"/>
              </w:rPr>
            </w:pPr>
            <w:r w:rsidRPr="00CC6BE6">
              <w:rPr>
                <w:sz w:val="17"/>
                <w:szCs w:val="17"/>
              </w:rPr>
              <w:t>-0.0</w:t>
            </w:r>
            <w:r w:rsidR="00FC7E7F">
              <w:rPr>
                <w:sz w:val="17"/>
                <w:szCs w:val="17"/>
              </w:rPr>
              <w:t>33*</w:t>
            </w:r>
          </w:p>
        </w:tc>
        <w:tc>
          <w:tcPr>
            <w:tcW w:w="871" w:type="dxa"/>
            <w:vAlign w:val="center"/>
          </w:tcPr>
          <w:p w14:paraId="252DABA1" w14:textId="63D38ED5" w:rsidR="0005707E" w:rsidRPr="00CC6BE6" w:rsidRDefault="004C352F" w:rsidP="000121A5">
            <w:pPr>
              <w:jc w:val="center"/>
              <w:rPr>
                <w:sz w:val="17"/>
                <w:szCs w:val="17"/>
              </w:rPr>
            </w:pPr>
            <w:r w:rsidRPr="00CC6BE6">
              <w:rPr>
                <w:sz w:val="17"/>
                <w:szCs w:val="17"/>
              </w:rPr>
              <w:t>-0.0</w:t>
            </w:r>
            <w:r w:rsidR="00225A91">
              <w:rPr>
                <w:sz w:val="17"/>
                <w:szCs w:val="17"/>
              </w:rPr>
              <w:t>39*</w:t>
            </w:r>
          </w:p>
        </w:tc>
        <w:tc>
          <w:tcPr>
            <w:tcW w:w="871" w:type="dxa"/>
            <w:vAlign w:val="center"/>
          </w:tcPr>
          <w:p w14:paraId="641DFE34" w14:textId="5FD2AA1B" w:rsidR="0005707E" w:rsidRPr="00CC6BE6" w:rsidRDefault="0021751C" w:rsidP="000121A5">
            <w:pPr>
              <w:jc w:val="center"/>
              <w:rPr>
                <w:sz w:val="17"/>
                <w:szCs w:val="17"/>
              </w:rPr>
            </w:pPr>
            <w:r w:rsidRPr="00CC6BE6">
              <w:rPr>
                <w:sz w:val="17"/>
                <w:szCs w:val="17"/>
              </w:rPr>
              <w:t>-0.0</w:t>
            </w:r>
            <w:r w:rsidR="00074094">
              <w:rPr>
                <w:sz w:val="17"/>
                <w:szCs w:val="17"/>
              </w:rPr>
              <w:t>70</w:t>
            </w:r>
            <w:r w:rsidRPr="00CC6BE6">
              <w:rPr>
                <w:sz w:val="17"/>
                <w:szCs w:val="17"/>
              </w:rPr>
              <w:t>*</w:t>
            </w:r>
          </w:p>
        </w:tc>
        <w:tc>
          <w:tcPr>
            <w:tcW w:w="871" w:type="dxa"/>
            <w:vAlign w:val="center"/>
          </w:tcPr>
          <w:p w14:paraId="6DADEC00" w14:textId="72A2421C" w:rsidR="0005707E" w:rsidRPr="00CC6BE6" w:rsidRDefault="007142C5" w:rsidP="000121A5">
            <w:pPr>
              <w:jc w:val="center"/>
              <w:rPr>
                <w:sz w:val="17"/>
                <w:szCs w:val="17"/>
              </w:rPr>
            </w:pPr>
            <w:r w:rsidRPr="00CC6BE6">
              <w:rPr>
                <w:sz w:val="17"/>
                <w:szCs w:val="17"/>
              </w:rPr>
              <w:t>0.01</w:t>
            </w:r>
            <w:r w:rsidR="00FE639C">
              <w:rPr>
                <w:sz w:val="17"/>
                <w:szCs w:val="17"/>
              </w:rPr>
              <w:t>4</w:t>
            </w:r>
          </w:p>
        </w:tc>
        <w:tc>
          <w:tcPr>
            <w:tcW w:w="870" w:type="dxa"/>
            <w:vAlign w:val="center"/>
          </w:tcPr>
          <w:p w14:paraId="4443B768" w14:textId="547F25C9" w:rsidR="0005707E" w:rsidRPr="00CC6BE6" w:rsidRDefault="004D1EE0" w:rsidP="000121A5">
            <w:pPr>
              <w:jc w:val="center"/>
              <w:rPr>
                <w:sz w:val="17"/>
                <w:szCs w:val="17"/>
              </w:rPr>
            </w:pPr>
            <w:r w:rsidRPr="00CC6BE6">
              <w:rPr>
                <w:sz w:val="17"/>
                <w:szCs w:val="17"/>
              </w:rPr>
              <w:t>0.0</w:t>
            </w:r>
            <w:r w:rsidR="00117A90">
              <w:rPr>
                <w:sz w:val="17"/>
                <w:szCs w:val="17"/>
              </w:rPr>
              <w:t>75</w:t>
            </w:r>
            <w:r w:rsidRPr="00CC6BE6">
              <w:rPr>
                <w:sz w:val="17"/>
                <w:szCs w:val="17"/>
              </w:rPr>
              <w:t>*</w:t>
            </w:r>
          </w:p>
        </w:tc>
        <w:tc>
          <w:tcPr>
            <w:tcW w:w="871" w:type="dxa"/>
            <w:vAlign w:val="center"/>
          </w:tcPr>
          <w:p w14:paraId="74DFF0E9" w14:textId="1AB11AFA" w:rsidR="0005707E" w:rsidRPr="00CC6BE6" w:rsidRDefault="00B22A0D" w:rsidP="000121A5">
            <w:pPr>
              <w:jc w:val="center"/>
              <w:rPr>
                <w:sz w:val="17"/>
                <w:szCs w:val="17"/>
              </w:rPr>
            </w:pPr>
            <w:r w:rsidRPr="00CC6BE6">
              <w:rPr>
                <w:sz w:val="17"/>
                <w:szCs w:val="17"/>
              </w:rPr>
              <w:t>0.5</w:t>
            </w:r>
            <w:r w:rsidR="007E6836">
              <w:rPr>
                <w:sz w:val="17"/>
                <w:szCs w:val="17"/>
              </w:rPr>
              <w:t>43</w:t>
            </w:r>
            <w:r w:rsidRPr="00CC6BE6">
              <w:rPr>
                <w:sz w:val="17"/>
                <w:szCs w:val="17"/>
              </w:rPr>
              <w:t>*</w:t>
            </w:r>
          </w:p>
        </w:tc>
        <w:tc>
          <w:tcPr>
            <w:tcW w:w="871" w:type="dxa"/>
            <w:vAlign w:val="center"/>
          </w:tcPr>
          <w:p w14:paraId="4E2A1C92" w14:textId="3037D8E2" w:rsidR="0005707E" w:rsidRPr="00CC6BE6" w:rsidRDefault="007239CE" w:rsidP="000121A5">
            <w:pPr>
              <w:jc w:val="center"/>
              <w:rPr>
                <w:sz w:val="17"/>
                <w:szCs w:val="17"/>
              </w:rPr>
            </w:pPr>
            <w:r w:rsidRPr="00CC6BE6">
              <w:rPr>
                <w:sz w:val="17"/>
                <w:szCs w:val="17"/>
              </w:rPr>
              <w:t>-0.09</w:t>
            </w:r>
            <w:r w:rsidR="002654EB">
              <w:rPr>
                <w:sz w:val="17"/>
                <w:szCs w:val="17"/>
              </w:rPr>
              <w:t>3</w:t>
            </w:r>
            <w:r w:rsidRPr="00CC6BE6">
              <w:rPr>
                <w:sz w:val="17"/>
                <w:szCs w:val="17"/>
              </w:rPr>
              <w:t>*</w:t>
            </w:r>
          </w:p>
        </w:tc>
        <w:tc>
          <w:tcPr>
            <w:tcW w:w="871" w:type="dxa"/>
            <w:vAlign w:val="center"/>
          </w:tcPr>
          <w:p w14:paraId="4096E5AE" w14:textId="47F03804" w:rsidR="0005707E" w:rsidRPr="00CC6BE6" w:rsidRDefault="00D33C72" w:rsidP="000121A5">
            <w:pPr>
              <w:jc w:val="center"/>
              <w:rPr>
                <w:sz w:val="17"/>
                <w:szCs w:val="17"/>
              </w:rPr>
            </w:pPr>
            <w:r w:rsidRPr="00CC6BE6">
              <w:rPr>
                <w:sz w:val="17"/>
                <w:szCs w:val="17"/>
              </w:rPr>
              <w:t>0.1</w:t>
            </w:r>
            <w:r w:rsidR="00C03479">
              <w:rPr>
                <w:sz w:val="17"/>
                <w:szCs w:val="17"/>
              </w:rPr>
              <w:t>12</w:t>
            </w:r>
            <w:r w:rsidRPr="00CC6BE6">
              <w:rPr>
                <w:sz w:val="17"/>
                <w:szCs w:val="17"/>
              </w:rPr>
              <w:t>*</w:t>
            </w:r>
          </w:p>
        </w:tc>
        <w:tc>
          <w:tcPr>
            <w:tcW w:w="871" w:type="dxa"/>
            <w:vAlign w:val="center"/>
          </w:tcPr>
          <w:p w14:paraId="77F6197A" w14:textId="571002AF" w:rsidR="0005707E" w:rsidRPr="00CC6BE6" w:rsidRDefault="00D33C72" w:rsidP="000121A5">
            <w:pPr>
              <w:jc w:val="center"/>
              <w:rPr>
                <w:sz w:val="17"/>
                <w:szCs w:val="17"/>
              </w:rPr>
            </w:pPr>
            <w:r w:rsidRPr="00CC6BE6">
              <w:rPr>
                <w:sz w:val="17"/>
                <w:szCs w:val="17"/>
              </w:rPr>
              <w:t>-0.0</w:t>
            </w:r>
            <w:r w:rsidR="004C2070">
              <w:rPr>
                <w:sz w:val="17"/>
                <w:szCs w:val="17"/>
              </w:rPr>
              <w:t>45</w:t>
            </w:r>
            <w:r w:rsidRPr="00CC6BE6">
              <w:rPr>
                <w:sz w:val="17"/>
                <w:szCs w:val="17"/>
              </w:rPr>
              <w:t>*</w:t>
            </w:r>
          </w:p>
        </w:tc>
        <w:tc>
          <w:tcPr>
            <w:tcW w:w="870" w:type="dxa"/>
            <w:vAlign w:val="center"/>
          </w:tcPr>
          <w:p w14:paraId="373C5249" w14:textId="6EE860B9" w:rsidR="0005707E" w:rsidRPr="00CC6BE6" w:rsidRDefault="0005707E" w:rsidP="000121A5">
            <w:pPr>
              <w:jc w:val="center"/>
              <w:rPr>
                <w:sz w:val="17"/>
                <w:szCs w:val="17"/>
              </w:rPr>
            </w:pPr>
            <w:r w:rsidRPr="00CC6BE6">
              <w:rPr>
                <w:sz w:val="17"/>
                <w:szCs w:val="17"/>
              </w:rPr>
              <w:t>1</w:t>
            </w:r>
          </w:p>
        </w:tc>
        <w:tc>
          <w:tcPr>
            <w:tcW w:w="871" w:type="dxa"/>
            <w:vAlign w:val="center"/>
          </w:tcPr>
          <w:p w14:paraId="202D82D4" w14:textId="63D38A0C" w:rsidR="0005707E" w:rsidRPr="00CC6BE6" w:rsidRDefault="0005707E" w:rsidP="000121A5">
            <w:pPr>
              <w:jc w:val="center"/>
              <w:rPr>
                <w:sz w:val="17"/>
                <w:szCs w:val="17"/>
              </w:rPr>
            </w:pPr>
          </w:p>
        </w:tc>
        <w:tc>
          <w:tcPr>
            <w:tcW w:w="871" w:type="dxa"/>
            <w:vAlign w:val="center"/>
          </w:tcPr>
          <w:p w14:paraId="0D00BD5C" w14:textId="77777777" w:rsidR="0005707E" w:rsidRPr="00CC6BE6" w:rsidRDefault="0005707E" w:rsidP="000121A5">
            <w:pPr>
              <w:jc w:val="center"/>
              <w:rPr>
                <w:sz w:val="17"/>
                <w:szCs w:val="17"/>
              </w:rPr>
            </w:pPr>
          </w:p>
        </w:tc>
        <w:tc>
          <w:tcPr>
            <w:tcW w:w="871" w:type="dxa"/>
            <w:vAlign w:val="center"/>
          </w:tcPr>
          <w:p w14:paraId="706D2AB1" w14:textId="77777777" w:rsidR="0005707E" w:rsidRPr="00CC6BE6" w:rsidRDefault="0005707E" w:rsidP="000121A5">
            <w:pPr>
              <w:jc w:val="center"/>
              <w:rPr>
                <w:sz w:val="17"/>
                <w:szCs w:val="17"/>
              </w:rPr>
            </w:pPr>
          </w:p>
        </w:tc>
        <w:tc>
          <w:tcPr>
            <w:tcW w:w="871" w:type="dxa"/>
            <w:vAlign w:val="center"/>
          </w:tcPr>
          <w:p w14:paraId="270BB1F4" w14:textId="77777777" w:rsidR="0005707E" w:rsidRPr="00CC6BE6" w:rsidRDefault="0005707E" w:rsidP="000121A5">
            <w:pPr>
              <w:jc w:val="center"/>
              <w:rPr>
                <w:sz w:val="17"/>
                <w:szCs w:val="17"/>
              </w:rPr>
            </w:pPr>
          </w:p>
        </w:tc>
        <w:tc>
          <w:tcPr>
            <w:tcW w:w="850" w:type="dxa"/>
            <w:vAlign w:val="center"/>
          </w:tcPr>
          <w:p w14:paraId="06B6959E" w14:textId="77777777" w:rsidR="0005707E" w:rsidRPr="00CC6BE6" w:rsidRDefault="0005707E" w:rsidP="000121A5">
            <w:pPr>
              <w:jc w:val="center"/>
              <w:rPr>
                <w:sz w:val="17"/>
                <w:szCs w:val="17"/>
              </w:rPr>
            </w:pPr>
          </w:p>
        </w:tc>
        <w:tc>
          <w:tcPr>
            <w:tcW w:w="709" w:type="dxa"/>
            <w:vAlign w:val="center"/>
          </w:tcPr>
          <w:p w14:paraId="72A07C71" w14:textId="77777777" w:rsidR="0005707E" w:rsidRPr="00CC6BE6" w:rsidRDefault="0005707E" w:rsidP="000121A5">
            <w:pPr>
              <w:jc w:val="center"/>
              <w:rPr>
                <w:sz w:val="17"/>
                <w:szCs w:val="17"/>
              </w:rPr>
            </w:pPr>
          </w:p>
        </w:tc>
      </w:tr>
      <w:tr w:rsidR="00A201A5" w:rsidRPr="00380DA5" w14:paraId="7C5A8549" w14:textId="2BD46D19" w:rsidTr="000C34D0">
        <w:tc>
          <w:tcPr>
            <w:tcW w:w="1276" w:type="dxa"/>
            <w:tcBorders>
              <w:right w:val="single" w:sz="4" w:space="0" w:color="auto"/>
            </w:tcBorders>
            <w:vAlign w:val="center"/>
          </w:tcPr>
          <w:p w14:paraId="245832EA" w14:textId="12D346BE" w:rsidR="0005707E" w:rsidRPr="00B01254" w:rsidRDefault="0005707E" w:rsidP="000121A5">
            <w:pPr>
              <w:rPr>
                <w:sz w:val="13"/>
                <w:szCs w:val="13"/>
              </w:rPr>
            </w:pPr>
            <w:r w:rsidRPr="00B01254">
              <w:rPr>
                <w:sz w:val="13"/>
                <w:szCs w:val="13"/>
              </w:rPr>
              <w:t>Has children under 18</w:t>
            </w:r>
          </w:p>
        </w:tc>
        <w:tc>
          <w:tcPr>
            <w:tcW w:w="870" w:type="dxa"/>
            <w:tcBorders>
              <w:left w:val="single" w:sz="4" w:space="0" w:color="auto"/>
            </w:tcBorders>
            <w:vAlign w:val="center"/>
          </w:tcPr>
          <w:p w14:paraId="183274DF" w14:textId="0C9C929B" w:rsidR="0005707E" w:rsidRPr="00CC6BE6" w:rsidRDefault="0005707E" w:rsidP="000121A5">
            <w:pPr>
              <w:jc w:val="center"/>
              <w:rPr>
                <w:sz w:val="17"/>
                <w:szCs w:val="17"/>
              </w:rPr>
            </w:pPr>
            <w:r w:rsidRPr="00CC6BE6">
              <w:rPr>
                <w:sz w:val="17"/>
                <w:szCs w:val="17"/>
              </w:rPr>
              <w:t>-0.0</w:t>
            </w:r>
            <w:r w:rsidR="001D0D6C">
              <w:rPr>
                <w:sz w:val="17"/>
                <w:szCs w:val="17"/>
              </w:rPr>
              <w:t>34*</w:t>
            </w:r>
          </w:p>
        </w:tc>
        <w:tc>
          <w:tcPr>
            <w:tcW w:w="871" w:type="dxa"/>
            <w:vAlign w:val="center"/>
          </w:tcPr>
          <w:p w14:paraId="62BA4D5A" w14:textId="4A6D13DF" w:rsidR="0005707E" w:rsidRPr="00CC6BE6" w:rsidRDefault="005545C6" w:rsidP="000121A5">
            <w:pPr>
              <w:jc w:val="center"/>
              <w:rPr>
                <w:sz w:val="17"/>
                <w:szCs w:val="17"/>
              </w:rPr>
            </w:pPr>
            <w:r>
              <w:rPr>
                <w:sz w:val="17"/>
                <w:szCs w:val="17"/>
              </w:rPr>
              <w:t>-</w:t>
            </w:r>
            <w:r w:rsidR="004C352F" w:rsidRPr="00CC6BE6">
              <w:rPr>
                <w:sz w:val="17"/>
                <w:szCs w:val="17"/>
              </w:rPr>
              <w:t>0.05</w:t>
            </w:r>
            <w:r>
              <w:rPr>
                <w:sz w:val="17"/>
                <w:szCs w:val="17"/>
              </w:rPr>
              <w:t>9*</w:t>
            </w:r>
            <w:r w:rsidR="004C352F" w:rsidRPr="00CC6BE6">
              <w:rPr>
                <w:sz w:val="17"/>
                <w:szCs w:val="17"/>
              </w:rPr>
              <w:t>*</w:t>
            </w:r>
          </w:p>
        </w:tc>
        <w:tc>
          <w:tcPr>
            <w:tcW w:w="871" w:type="dxa"/>
            <w:vAlign w:val="center"/>
          </w:tcPr>
          <w:p w14:paraId="20365455" w14:textId="79FBCC18" w:rsidR="0005707E" w:rsidRPr="00CC6BE6" w:rsidRDefault="0021751C" w:rsidP="000121A5">
            <w:pPr>
              <w:jc w:val="center"/>
              <w:rPr>
                <w:sz w:val="17"/>
                <w:szCs w:val="17"/>
              </w:rPr>
            </w:pPr>
            <w:r w:rsidRPr="00CC6BE6">
              <w:rPr>
                <w:sz w:val="17"/>
                <w:szCs w:val="17"/>
              </w:rPr>
              <w:t>-0.0</w:t>
            </w:r>
            <w:r w:rsidR="00074094">
              <w:rPr>
                <w:sz w:val="17"/>
                <w:szCs w:val="17"/>
              </w:rPr>
              <w:t>40</w:t>
            </w:r>
            <w:r w:rsidR="00573B69">
              <w:rPr>
                <w:sz w:val="17"/>
                <w:szCs w:val="17"/>
              </w:rPr>
              <w:t>*</w:t>
            </w:r>
          </w:p>
        </w:tc>
        <w:tc>
          <w:tcPr>
            <w:tcW w:w="871" w:type="dxa"/>
            <w:vAlign w:val="center"/>
          </w:tcPr>
          <w:p w14:paraId="5F4E042A" w14:textId="0911232D" w:rsidR="0005707E" w:rsidRPr="00CC6BE6" w:rsidRDefault="007142C5" w:rsidP="000121A5">
            <w:pPr>
              <w:jc w:val="center"/>
              <w:rPr>
                <w:sz w:val="17"/>
                <w:szCs w:val="17"/>
              </w:rPr>
            </w:pPr>
            <w:r w:rsidRPr="00CC6BE6">
              <w:rPr>
                <w:sz w:val="17"/>
                <w:szCs w:val="17"/>
              </w:rPr>
              <w:t>0.07</w:t>
            </w:r>
            <w:r w:rsidR="00FE639C">
              <w:rPr>
                <w:sz w:val="17"/>
                <w:szCs w:val="17"/>
              </w:rPr>
              <w:t>0</w:t>
            </w:r>
            <w:r w:rsidRPr="00CC6BE6">
              <w:rPr>
                <w:sz w:val="17"/>
                <w:szCs w:val="17"/>
              </w:rPr>
              <w:t>*</w:t>
            </w:r>
          </w:p>
        </w:tc>
        <w:tc>
          <w:tcPr>
            <w:tcW w:w="870" w:type="dxa"/>
            <w:vAlign w:val="center"/>
          </w:tcPr>
          <w:p w14:paraId="4F029D71" w14:textId="30B14E19" w:rsidR="0005707E" w:rsidRPr="00CC6BE6" w:rsidRDefault="004D1EE0" w:rsidP="000121A5">
            <w:pPr>
              <w:jc w:val="center"/>
              <w:rPr>
                <w:sz w:val="17"/>
                <w:szCs w:val="17"/>
              </w:rPr>
            </w:pPr>
            <w:r w:rsidRPr="00CC6BE6">
              <w:rPr>
                <w:sz w:val="17"/>
                <w:szCs w:val="17"/>
              </w:rPr>
              <w:t>0.0</w:t>
            </w:r>
            <w:r w:rsidR="00117A90">
              <w:rPr>
                <w:sz w:val="17"/>
                <w:szCs w:val="17"/>
              </w:rPr>
              <w:t>40</w:t>
            </w:r>
            <w:r w:rsidRPr="00CC6BE6">
              <w:rPr>
                <w:sz w:val="17"/>
                <w:szCs w:val="17"/>
              </w:rPr>
              <w:t>*</w:t>
            </w:r>
          </w:p>
        </w:tc>
        <w:tc>
          <w:tcPr>
            <w:tcW w:w="871" w:type="dxa"/>
            <w:vAlign w:val="center"/>
          </w:tcPr>
          <w:p w14:paraId="325EDE41" w14:textId="03B64BFC" w:rsidR="0005707E" w:rsidRPr="00CC6BE6" w:rsidRDefault="00B22A0D" w:rsidP="000121A5">
            <w:pPr>
              <w:jc w:val="center"/>
              <w:rPr>
                <w:sz w:val="17"/>
                <w:szCs w:val="17"/>
              </w:rPr>
            </w:pPr>
            <w:r w:rsidRPr="00CC6BE6">
              <w:rPr>
                <w:sz w:val="17"/>
                <w:szCs w:val="17"/>
              </w:rPr>
              <w:t>-0.1</w:t>
            </w:r>
            <w:r w:rsidR="007E6836">
              <w:rPr>
                <w:sz w:val="17"/>
                <w:szCs w:val="17"/>
              </w:rPr>
              <w:t>53</w:t>
            </w:r>
            <w:r w:rsidRPr="00CC6BE6">
              <w:rPr>
                <w:sz w:val="17"/>
                <w:szCs w:val="17"/>
              </w:rPr>
              <w:t>*</w:t>
            </w:r>
          </w:p>
        </w:tc>
        <w:tc>
          <w:tcPr>
            <w:tcW w:w="871" w:type="dxa"/>
            <w:vAlign w:val="center"/>
          </w:tcPr>
          <w:p w14:paraId="7C813428" w14:textId="17CC5BC5" w:rsidR="0005707E" w:rsidRPr="00CC6BE6" w:rsidRDefault="007239CE" w:rsidP="000121A5">
            <w:pPr>
              <w:jc w:val="center"/>
              <w:rPr>
                <w:sz w:val="17"/>
                <w:szCs w:val="17"/>
              </w:rPr>
            </w:pPr>
            <w:r w:rsidRPr="00CC6BE6">
              <w:rPr>
                <w:sz w:val="17"/>
                <w:szCs w:val="17"/>
              </w:rPr>
              <w:t>0.1</w:t>
            </w:r>
            <w:r w:rsidR="002654EB">
              <w:rPr>
                <w:sz w:val="17"/>
                <w:szCs w:val="17"/>
              </w:rPr>
              <w:t>03</w:t>
            </w:r>
            <w:r w:rsidRPr="00CC6BE6">
              <w:rPr>
                <w:sz w:val="17"/>
                <w:szCs w:val="17"/>
              </w:rPr>
              <w:t>*</w:t>
            </w:r>
          </w:p>
        </w:tc>
        <w:tc>
          <w:tcPr>
            <w:tcW w:w="871" w:type="dxa"/>
            <w:vAlign w:val="center"/>
          </w:tcPr>
          <w:p w14:paraId="03BAECDA" w14:textId="71BD4019" w:rsidR="0005707E" w:rsidRPr="00CC6BE6" w:rsidRDefault="00D33C72" w:rsidP="000121A5">
            <w:pPr>
              <w:jc w:val="center"/>
              <w:rPr>
                <w:sz w:val="17"/>
                <w:szCs w:val="17"/>
              </w:rPr>
            </w:pPr>
            <w:r w:rsidRPr="00CC6BE6">
              <w:rPr>
                <w:sz w:val="17"/>
                <w:szCs w:val="17"/>
              </w:rPr>
              <w:t>-0.1</w:t>
            </w:r>
            <w:r w:rsidR="004F3F7E">
              <w:rPr>
                <w:sz w:val="17"/>
                <w:szCs w:val="17"/>
              </w:rPr>
              <w:t>06*</w:t>
            </w:r>
          </w:p>
        </w:tc>
        <w:tc>
          <w:tcPr>
            <w:tcW w:w="871" w:type="dxa"/>
            <w:vAlign w:val="center"/>
          </w:tcPr>
          <w:p w14:paraId="351D26A9" w14:textId="14C56630" w:rsidR="0005707E" w:rsidRPr="00CC6BE6" w:rsidRDefault="00D33C72" w:rsidP="000121A5">
            <w:pPr>
              <w:jc w:val="center"/>
              <w:rPr>
                <w:sz w:val="17"/>
                <w:szCs w:val="17"/>
              </w:rPr>
            </w:pPr>
            <w:r w:rsidRPr="00CC6BE6">
              <w:rPr>
                <w:sz w:val="17"/>
                <w:szCs w:val="17"/>
              </w:rPr>
              <w:t>-0.0</w:t>
            </w:r>
            <w:r w:rsidR="00E97793">
              <w:rPr>
                <w:sz w:val="17"/>
                <w:szCs w:val="17"/>
              </w:rPr>
              <w:t>79</w:t>
            </w:r>
            <w:r w:rsidRPr="00CC6BE6">
              <w:rPr>
                <w:sz w:val="17"/>
                <w:szCs w:val="17"/>
              </w:rPr>
              <w:t>*</w:t>
            </w:r>
          </w:p>
        </w:tc>
        <w:tc>
          <w:tcPr>
            <w:tcW w:w="870" w:type="dxa"/>
            <w:vAlign w:val="center"/>
          </w:tcPr>
          <w:p w14:paraId="3A60F577" w14:textId="436DDD36" w:rsidR="0005707E" w:rsidRPr="00CC6BE6" w:rsidRDefault="00E30BCF" w:rsidP="000121A5">
            <w:pPr>
              <w:jc w:val="center"/>
              <w:rPr>
                <w:sz w:val="17"/>
                <w:szCs w:val="17"/>
              </w:rPr>
            </w:pPr>
            <w:r w:rsidRPr="00CC6BE6">
              <w:rPr>
                <w:sz w:val="17"/>
                <w:szCs w:val="17"/>
              </w:rPr>
              <w:t>0.</w:t>
            </w:r>
            <w:r w:rsidR="006022DC">
              <w:rPr>
                <w:sz w:val="17"/>
                <w:szCs w:val="17"/>
              </w:rPr>
              <w:t>157</w:t>
            </w:r>
            <w:r w:rsidRPr="00CC6BE6">
              <w:rPr>
                <w:sz w:val="17"/>
                <w:szCs w:val="17"/>
              </w:rPr>
              <w:t>*</w:t>
            </w:r>
          </w:p>
        </w:tc>
        <w:tc>
          <w:tcPr>
            <w:tcW w:w="871" w:type="dxa"/>
            <w:vAlign w:val="center"/>
          </w:tcPr>
          <w:p w14:paraId="34B5A86E" w14:textId="4563DD7A" w:rsidR="0005707E" w:rsidRPr="00CC6BE6" w:rsidRDefault="0005707E" w:rsidP="000121A5">
            <w:pPr>
              <w:jc w:val="center"/>
              <w:rPr>
                <w:sz w:val="17"/>
                <w:szCs w:val="17"/>
              </w:rPr>
            </w:pPr>
            <w:r w:rsidRPr="00CC6BE6">
              <w:rPr>
                <w:sz w:val="17"/>
                <w:szCs w:val="17"/>
              </w:rPr>
              <w:t>1</w:t>
            </w:r>
          </w:p>
        </w:tc>
        <w:tc>
          <w:tcPr>
            <w:tcW w:w="871" w:type="dxa"/>
            <w:vAlign w:val="center"/>
          </w:tcPr>
          <w:p w14:paraId="380B4167" w14:textId="23347979" w:rsidR="0005707E" w:rsidRPr="00CC6BE6" w:rsidRDefault="0005707E" w:rsidP="000121A5">
            <w:pPr>
              <w:jc w:val="center"/>
              <w:rPr>
                <w:sz w:val="17"/>
                <w:szCs w:val="17"/>
              </w:rPr>
            </w:pPr>
          </w:p>
        </w:tc>
        <w:tc>
          <w:tcPr>
            <w:tcW w:w="871" w:type="dxa"/>
            <w:vAlign w:val="center"/>
          </w:tcPr>
          <w:p w14:paraId="22D8E429" w14:textId="77777777" w:rsidR="0005707E" w:rsidRPr="00CC6BE6" w:rsidRDefault="0005707E" w:rsidP="000121A5">
            <w:pPr>
              <w:jc w:val="center"/>
              <w:rPr>
                <w:sz w:val="17"/>
                <w:szCs w:val="17"/>
              </w:rPr>
            </w:pPr>
          </w:p>
        </w:tc>
        <w:tc>
          <w:tcPr>
            <w:tcW w:w="871" w:type="dxa"/>
            <w:vAlign w:val="center"/>
          </w:tcPr>
          <w:p w14:paraId="75B5C744" w14:textId="77777777" w:rsidR="0005707E" w:rsidRPr="00CC6BE6" w:rsidRDefault="0005707E" w:rsidP="000121A5">
            <w:pPr>
              <w:jc w:val="center"/>
              <w:rPr>
                <w:sz w:val="17"/>
                <w:szCs w:val="17"/>
              </w:rPr>
            </w:pPr>
          </w:p>
        </w:tc>
        <w:tc>
          <w:tcPr>
            <w:tcW w:w="850" w:type="dxa"/>
            <w:vAlign w:val="center"/>
          </w:tcPr>
          <w:p w14:paraId="59AA7BC1" w14:textId="77777777" w:rsidR="0005707E" w:rsidRPr="00CC6BE6" w:rsidRDefault="0005707E" w:rsidP="000121A5">
            <w:pPr>
              <w:jc w:val="center"/>
              <w:rPr>
                <w:sz w:val="17"/>
                <w:szCs w:val="17"/>
              </w:rPr>
            </w:pPr>
          </w:p>
        </w:tc>
        <w:tc>
          <w:tcPr>
            <w:tcW w:w="709" w:type="dxa"/>
            <w:vAlign w:val="center"/>
          </w:tcPr>
          <w:p w14:paraId="0F6A2BC8" w14:textId="77777777" w:rsidR="0005707E" w:rsidRPr="00CC6BE6" w:rsidRDefault="0005707E" w:rsidP="000121A5">
            <w:pPr>
              <w:jc w:val="center"/>
              <w:rPr>
                <w:sz w:val="17"/>
                <w:szCs w:val="17"/>
              </w:rPr>
            </w:pPr>
          </w:p>
        </w:tc>
      </w:tr>
      <w:tr w:rsidR="00A201A5" w:rsidRPr="00380DA5" w14:paraId="396FAB46" w14:textId="4152E4A8" w:rsidTr="000C34D0">
        <w:tc>
          <w:tcPr>
            <w:tcW w:w="1276" w:type="dxa"/>
            <w:tcBorders>
              <w:right w:val="single" w:sz="4" w:space="0" w:color="auto"/>
            </w:tcBorders>
            <w:vAlign w:val="center"/>
          </w:tcPr>
          <w:p w14:paraId="44BA3A54" w14:textId="4E4D945B" w:rsidR="0005707E" w:rsidRPr="00B01254" w:rsidRDefault="0005707E" w:rsidP="000121A5">
            <w:pPr>
              <w:rPr>
                <w:sz w:val="13"/>
                <w:szCs w:val="13"/>
              </w:rPr>
            </w:pPr>
            <w:r w:rsidRPr="00B01254">
              <w:rPr>
                <w:sz w:val="13"/>
                <w:szCs w:val="13"/>
              </w:rPr>
              <w:t>Employment status</w:t>
            </w:r>
          </w:p>
        </w:tc>
        <w:tc>
          <w:tcPr>
            <w:tcW w:w="870" w:type="dxa"/>
            <w:tcBorders>
              <w:left w:val="single" w:sz="4" w:space="0" w:color="auto"/>
            </w:tcBorders>
            <w:vAlign w:val="center"/>
          </w:tcPr>
          <w:p w14:paraId="37B82A1F" w14:textId="27FC55FE" w:rsidR="0005707E" w:rsidRPr="00CC6BE6" w:rsidRDefault="0005707E" w:rsidP="000121A5">
            <w:pPr>
              <w:jc w:val="center"/>
              <w:rPr>
                <w:sz w:val="17"/>
                <w:szCs w:val="17"/>
              </w:rPr>
            </w:pPr>
            <w:r w:rsidRPr="00CC6BE6">
              <w:rPr>
                <w:sz w:val="17"/>
                <w:szCs w:val="17"/>
              </w:rPr>
              <w:t>0.0</w:t>
            </w:r>
            <w:r w:rsidR="001D0D6C">
              <w:rPr>
                <w:sz w:val="17"/>
                <w:szCs w:val="17"/>
              </w:rPr>
              <w:t>83</w:t>
            </w:r>
            <w:r w:rsidRPr="00CC6BE6">
              <w:rPr>
                <w:sz w:val="17"/>
                <w:szCs w:val="17"/>
              </w:rPr>
              <w:t>*</w:t>
            </w:r>
          </w:p>
        </w:tc>
        <w:tc>
          <w:tcPr>
            <w:tcW w:w="871" w:type="dxa"/>
            <w:vAlign w:val="center"/>
          </w:tcPr>
          <w:p w14:paraId="2F34B09E" w14:textId="604344E7" w:rsidR="0005707E" w:rsidRPr="00CC6BE6" w:rsidRDefault="004C352F" w:rsidP="000121A5">
            <w:pPr>
              <w:jc w:val="center"/>
              <w:rPr>
                <w:sz w:val="17"/>
                <w:szCs w:val="17"/>
              </w:rPr>
            </w:pPr>
            <w:r w:rsidRPr="00CC6BE6">
              <w:rPr>
                <w:sz w:val="17"/>
                <w:szCs w:val="17"/>
              </w:rPr>
              <w:t>0.1</w:t>
            </w:r>
            <w:r w:rsidR="005545C6">
              <w:rPr>
                <w:sz w:val="17"/>
                <w:szCs w:val="17"/>
              </w:rPr>
              <w:t>08</w:t>
            </w:r>
            <w:r w:rsidRPr="00CC6BE6">
              <w:rPr>
                <w:sz w:val="17"/>
                <w:szCs w:val="17"/>
              </w:rPr>
              <w:t>*</w:t>
            </w:r>
          </w:p>
        </w:tc>
        <w:tc>
          <w:tcPr>
            <w:tcW w:w="871" w:type="dxa"/>
            <w:vAlign w:val="center"/>
          </w:tcPr>
          <w:p w14:paraId="13687092" w14:textId="251DEF17" w:rsidR="0005707E" w:rsidRPr="00CC6BE6" w:rsidRDefault="0021751C" w:rsidP="000121A5">
            <w:pPr>
              <w:jc w:val="center"/>
              <w:rPr>
                <w:sz w:val="17"/>
                <w:szCs w:val="17"/>
              </w:rPr>
            </w:pPr>
            <w:r w:rsidRPr="00CC6BE6">
              <w:rPr>
                <w:sz w:val="17"/>
                <w:szCs w:val="17"/>
              </w:rPr>
              <w:t>0.1</w:t>
            </w:r>
            <w:r w:rsidR="00573B69">
              <w:rPr>
                <w:sz w:val="17"/>
                <w:szCs w:val="17"/>
              </w:rPr>
              <w:t>19</w:t>
            </w:r>
            <w:r w:rsidRPr="00CC6BE6">
              <w:rPr>
                <w:sz w:val="17"/>
                <w:szCs w:val="17"/>
              </w:rPr>
              <w:t>*</w:t>
            </w:r>
          </w:p>
        </w:tc>
        <w:tc>
          <w:tcPr>
            <w:tcW w:w="871" w:type="dxa"/>
            <w:vAlign w:val="center"/>
          </w:tcPr>
          <w:p w14:paraId="28B35C58" w14:textId="41FD2A53" w:rsidR="0005707E" w:rsidRPr="00CC6BE6" w:rsidRDefault="007142C5" w:rsidP="000121A5">
            <w:pPr>
              <w:jc w:val="center"/>
              <w:rPr>
                <w:sz w:val="17"/>
                <w:szCs w:val="17"/>
              </w:rPr>
            </w:pPr>
            <w:r w:rsidRPr="00CC6BE6">
              <w:rPr>
                <w:sz w:val="17"/>
                <w:szCs w:val="17"/>
              </w:rPr>
              <w:t>-0.</w:t>
            </w:r>
            <w:r w:rsidR="00B5795C">
              <w:rPr>
                <w:sz w:val="17"/>
                <w:szCs w:val="17"/>
              </w:rPr>
              <w:t>174</w:t>
            </w:r>
            <w:r w:rsidR="004D1EE0" w:rsidRPr="00CC6BE6">
              <w:rPr>
                <w:sz w:val="17"/>
                <w:szCs w:val="17"/>
              </w:rPr>
              <w:t>*</w:t>
            </w:r>
          </w:p>
        </w:tc>
        <w:tc>
          <w:tcPr>
            <w:tcW w:w="870" w:type="dxa"/>
            <w:vAlign w:val="center"/>
          </w:tcPr>
          <w:p w14:paraId="03EA6481" w14:textId="5EE85664" w:rsidR="0005707E" w:rsidRPr="00CC6BE6" w:rsidRDefault="004D1EE0" w:rsidP="000121A5">
            <w:pPr>
              <w:jc w:val="center"/>
              <w:rPr>
                <w:sz w:val="17"/>
                <w:szCs w:val="17"/>
              </w:rPr>
            </w:pPr>
            <w:r w:rsidRPr="00CC6BE6">
              <w:rPr>
                <w:sz w:val="17"/>
                <w:szCs w:val="17"/>
              </w:rPr>
              <w:t>0.1</w:t>
            </w:r>
            <w:r w:rsidR="00117A90">
              <w:rPr>
                <w:sz w:val="17"/>
                <w:szCs w:val="17"/>
              </w:rPr>
              <w:t>11</w:t>
            </w:r>
            <w:r w:rsidRPr="00CC6BE6">
              <w:rPr>
                <w:sz w:val="17"/>
                <w:szCs w:val="17"/>
              </w:rPr>
              <w:t>*</w:t>
            </w:r>
          </w:p>
        </w:tc>
        <w:tc>
          <w:tcPr>
            <w:tcW w:w="871" w:type="dxa"/>
            <w:vAlign w:val="center"/>
          </w:tcPr>
          <w:p w14:paraId="521E55BF" w14:textId="4F6EFA28" w:rsidR="0005707E" w:rsidRPr="00CC6BE6" w:rsidRDefault="00B22A0D" w:rsidP="000121A5">
            <w:pPr>
              <w:jc w:val="center"/>
              <w:rPr>
                <w:sz w:val="17"/>
                <w:szCs w:val="17"/>
              </w:rPr>
            </w:pPr>
            <w:r w:rsidRPr="00CC6BE6">
              <w:rPr>
                <w:sz w:val="17"/>
                <w:szCs w:val="17"/>
              </w:rPr>
              <w:t>0.</w:t>
            </w:r>
            <w:r w:rsidR="006C0771">
              <w:rPr>
                <w:sz w:val="17"/>
                <w:szCs w:val="17"/>
              </w:rPr>
              <w:t>289</w:t>
            </w:r>
            <w:r w:rsidRPr="00CC6BE6">
              <w:rPr>
                <w:sz w:val="17"/>
                <w:szCs w:val="17"/>
              </w:rPr>
              <w:t>*</w:t>
            </w:r>
          </w:p>
        </w:tc>
        <w:tc>
          <w:tcPr>
            <w:tcW w:w="871" w:type="dxa"/>
            <w:vAlign w:val="center"/>
          </w:tcPr>
          <w:p w14:paraId="70CC52A8" w14:textId="6EC314A5" w:rsidR="0005707E" w:rsidRPr="00CC6BE6" w:rsidRDefault="007239CE" w:rsidP="000121A5">
            <w:pPr>
              <w:jc w:val="center"/>
              <w:rPr>
                <w:sz w:val="17"/>
                <w:szCs w:val="17"/>
              </w:rPr>
            </w:pPr>
            <w:r w:rsidRPr="00CC6BE6">
              <w:rPr>
                <w:sz w:val="17"/>
                <w:szCs w:val="17"/>
              </w:rPr>
              <w:t>-0.</w:t>
            </w:r>
            <w:r w:rsidR="002654EB">
              <w:rPr>
                <w:sz w:val="17"/>
                <w:szCs w:val="17"/>
              </w:rPr>
              <w:t>271</w:t>
            </w:r>
            <w:r w:rsidRPr="00CC6BE6">
              <w:rPr>
                <w:sz w:val="17"/>
                <w:szCs w:val="17"/>
              </w:rPr>
              <w:t>*</w:t>
            </w:r>
          </w:p>
        </w:tc>
        <w:tc>
          <w:tcPr>
            <w:tcW w:w="871" w:type="dxa"/>
            <w:vAlign w:val="center"/>
          </w:tcPr>
          <w:p w14:paraId="698BE1CD" w14:textId="09566AE8" w:rsidR="0005707E" w:rsidRPr="00CC6BE6" w:rsidRDefault="00D33C72" w:rsidP="000121A5">
            <w:pPr>
              <w:jc w:val="center"/>
              <w:rPr>
                <w:sz w:val="17"/>
                <w:szCs w:val="17"/>
              </w:rPr>
            </w:pPr>
            <w:r w:rsidRPr="00CC6BE6">
              <w:rPr>
                <w:sz w:val="17"/>
                <w:szCs w:val="17"/>
              </w:rPr>
              <w:t>0.</w:t>
            </w:r>
            <w:r w:rsidR="004F3F7E">
              <w:rPr>
                <w:sz w:val="17"/>
                <w:szCs w:val="17"/>
              </w:rPr>
              <w:t>294</w:t>
            </w:r>
            <w:r w:rsidRPr="00CC6BE6">
              <w:rPr>
                <w:sz w:val="17"/>
                <w:szCs w:val="17"/>
              </w:rPr>
              <w:t>*</w:t>
            </w:r>
          </w:p>
        </w:tc>
        <w:tc>
          <w:tcPr>
            <w:tcW w:w="871" w:type="dxa"/>
            <w:vAlign w:val="center"/>
          </w:tcPr>
          <w:p w14:paraId="36626F88" w14:textId="309FE00C" w:rsidR="0005707E" w:rsidRPr="00CC6BE6" w:rsidRDefault="00D33C72" w:rsidP="000121A5">
            <w:pPr>
              <w:jc w:val="center"/>
              <w:rPr>
                <w:sz w:val="17"/>
                <w:szCs w:val="17"/>
              </w:rPr>
            </w:pPr>
            <w:r w:rsidRPr="00CC6BE6">
              <w:rPr>
                <w:sz w:val="17"/>
                <w:szCs w:val="17"/>
              </w:rPr>
              <w:t>-0.</w:t>
            </w:r>
            <w:r w:rsidR="00E97793">
              <w:rPr>
                <w:sz w:val="17"/>
                <w:szCs w:val="17"/>
              </w:rPr>
              <w:t>104</w:t>
            </w:r>
            <w:r w:rsidRPr="00CC6BE6">
              <w:rPr>
                <w:sz w:val="17"/>
                <w:szCs w:val="17"/>
              </w:rPr>
              <w:t>*</w:t>
            </w:r>
          </w:p>
        </w:tc>
        <w:tc>
          <w:tcPr>
            <w:tcW w:w="870" w:type="dxa"/>
            <w:vAlign w:val="center"/>
          </w:tcPr>
          <w:p w14:paraId="795D8A1F" w14:textId="0A3EA7AE" w:rsidR="0005707E" w:rsidRPr="00CC6BE6" w:rsidRDefault="00E30BCF" w:rsidP="000121A5">
            <w:pPr>
              <w:jc w:val="center"/>
              <w:rPr>
                <w:sz w:val="17"/>
                <w:szCs w:val="17"/>
              </w:rPr>
            </w:pPr>
            <w:r w:rsidRPr="00CC6BE6">
              <w:rPr>
                <w:sz w:val="17"/>
                <w:szCs w:val="17"/>
              </w:rPr>
              <w:t>0.</w:t>
            </w:r>
            <w:r w:rsidR="006022DC">
              <w:rPr>
                <w:sz w:val="17"/>
                <w:szCs w:val="17"/>
              </w:rPr>
              <w:t>073</w:t>
            </w:r>
            <w:r w:rsidRPr="00CC6BE6">
              <w:rPr>
                <w:sz w:val="17"/>
                <w:szCs w:val="17"/>
              </w:rPr>
              <w:t>*</w:t>
            </w:r>
          </w:p>
        </w:tc>
        <w:tc>
          <w:tcPr>
            <w:tcW w:w="871" w:type="dxa"/>
            <w:vAlign w:val="center"/>
          </w:tcPr>
          <w:p w14:paraId="1488BFAD" w14:textId="2BD81465" w:rsidR="0005707E" w:rsidRPr="00CC6BE6" w:rsidRDefault="00E30BCF" w:rsidP="000121A5">
            <w:pPr>
              <w:jc w:val="center"/>
              <w:rPr>
                <w:sz w:val="17"/>
                <w:szCs w:val="17"/>
              </w:rPr>
            </w:pPr>
            <w:r w:rsidRPr="00CC6BE6">
              <w:rPr>
                <w:sz w:val="17"/>
                <w:szCs w:val="17"/>
              </w:rPr>
              <w:t>-0.2</w:t>
            </w:r>
            <w:r w:rsidR="00486263">
              <w:rPr>
                <w:sz w:val="17"/>
                <w:szCs w:val="17"/>
              </w:rPr>
              <w:t>80</w:t>
            </w:r>
            <w:r w:rsidRPr="00CC6BE6">
              <w:rPr>
                <w:sz w:val="17"/>
                <w:szCs w:val="17"/>
              </w:rPr>
              <w:t>*</w:t>
            </w:r>
          </w:p>
        </w:tc>
        <w:tc>
          <w:tcPr>
            <w:tcW w:w="871" w:type="dxa"/>
            <w:vAlign w:val="center"/>
          </w:tcPr>
          <w:p w14:paraId="5D2DFF6D" w14:textId="2F24DCDE" w:rsidR="0005707E" w:rsidRPr="00CC6BE6" w:rsidRDefault="0005707E" w:rsidP="000121A5">
            <w:pPr>
              <w:jc w:val="center"/>
              <w:rPr>
                <w:sz w:val="17"/>
                <w:szCs w:val="17"/>
              </w:rPr>
            </w:pPr>
            <w:r w:rsidRPr="00CC6BE6">
              <w:rPr>
                <w:sz w:val="17"/>
                <w:szCs w:val="17"/>
              </w:rPr>
              <w:t>1</w:t>
            </w:r>
          </w:p>
        </w:tc>
        <w:tc>
          <w:tcPr>
            <w:tcW w:w="871" w:type="dxa"/>
            <w:vAlign w:val="center"/>
          </w:tcPr>
          <w:p w14:paraId="48ACDF8D" w14:textId="3439F62F" w:rsidR="0005707E" w:rsidRPr="00CC6BE6" w:rsidRDefault="0005707E" w:rsidP="000121A5">
            <w:pPr>
              <w:jc w:val="center"/>
              <w:rPr>
                <w:sz w:val="17"/>
                <w:szCs w:val="17"/>
              </w:rPr>
            </w:pPr>
          </w:p>
        </w:tc>
        <w:tc>
          <w:tcPr>
            <w:tcW w:w="871" w:type="dxa"/>
            <w:vAlign w:val="center"/>
          </w:tcPr>
          <w:p w14:paraId="2B08EDBB" w14:textId="77777777" w:rsidR="0005707E" w:rsidRPr="00CC6BE6" w:rsidRDefault="0005707E" w:rsidP="000121A5">
            <w:pPr>
              <w:jc w:val="center"/>
              <w:rPr>
                <w:sz w:val="17"/>
                <w:szCs w:val="17"/>
              </w:rPr>
            </w:pPr>
          </w:p>
        </w:tc>
        <w:tc>
          <w:tcPr>
            <w:tcW w:w="850" w:type="dxa"/>
            <w:vAlign w:val="center"/>
          </w:tcPr>
          <w:p w14:paraId="1094D9AE" w14:textId="77777777" w:rsidR="0005707E" w:rsidRPr="00CC6BE6" w:rsidRDefault="0005707E" w:rsidP="000121A5">
            <w:pPr>
              <w:jc w:val="center"/>
              <w:rPr>
                <w:sz w:val="17"/>
                <w:szCs w:val="17"/>
              </w:rPr>
            </w:pPr>
          </w:p>
        </w:tc>
        <w:tc>
          <w:tcPr>
            <w:tcW w:w="709" w:type="dxa"/>
            <w:vAlign w:val="center"/>
          </w:tcPr>
          <w:p w14:paraId="241AE7FC" w14:textId="77777777" w:rsidR="0005707E" w:rsidRPr="00CC6BE6" w:rsidRDefault="0005707E" w:rsidP="000121A5">
            <w:pPr>
              <w:jc w:val="center"/>
              <w:rPr>
                <w:sz w:val="17"/>
                <w:szCs w:val="17"/>
              </w:rPr>
            </w:pPr>
          </w:p>
        </w:tc>
      </w:tr>
      <w:tr w:rsidR="00A201A5" w:rsidRPr="00380DA5" w14:paraId="18921932" w14:textId="20A98D71" w:rsidTr="000C34D0">
        <w:tc>
          <w:tcPr>
            <w:tcW w:w="1276" w:type="dxa"/>
            <w:tcBorders>
              <w:right w:val="single" w:sz="4" w:space="0" w:color="auto"/>
            </w:tcBorders>
            <w:vAlign w:val="center"/>
          </w:tcPr>
          <w:p w14:paraId="54E14F31" w14:textId="11413CC8" w:rsidR="0005707E" w:rsidRPr="00B01254" w:rsidRDefault="0005707E" w:rsidP="000121A5">
            <w:pPr>
              <w:rPr>
                <w:sz w:val="13"/>
                <w:szCs w:val="13"/>
              </w:rPr>
            </w:pPr>
            <w:r w:rsidRPr="00B01254">
              <w:rPr>
                <w:sz w:val="13"/>
                <w:szCs w:val="13"/>
              </w:rPr>
              <w:t>Region</w:t>
            </w:r>
          </w:p>
        </w:tc>
        <w:tc>
          <w:tcPr>
            <w:tcW w:w="870" w:type="dxa"/>
            <w:tcBorders>
              <w:left w:val="single" w:sz="4" w:space="0" w:color="auto"/>
            </w:tcBorders>
            <w:vAlign w:val="center"/>
          </w:tcPr>
          <w:p w14:paraId="0C0A65B7" w14:textId="2862F086" w:rsidR="0005707E" w:rsidRPr="00CC6BE6" w:rsidRDefault="0005707E" w:rsidP="000121A5">
            <w:pPr>
              <w:jc w:val="center"/>
              <w:rPr>
                <w:sz w:val="17"/>
                <w:szCs w:val="17"/>
              </w:rPr>
            </w:pPr>
            <w:r w:rsidRPr="00CC6BE6">
              <w:rPr>
                <w:sz w:val="17"/>
                <w:szCs w:val="17"/>
              </w:rPr>
              <w:t>-0.0</w:t>
            </w:r>
            <w:r w:rsidR="001D0D6C">
              <w:rPr>
                <w:sz w:val="17"/>
                <w:szCs w:val="17"/>
              </w:rPr>
              <w:t>05</w:t>
            </w:r>
          </w:p>
        </w:tc>
        <w:tc>
          <w:tcPr>
            <w:tcW w:w="871" w:type="dxa"/>
            <w:vAlign w:val="center"/>
          </w:tcPr>
          <w:p w14:paraId="05ECC353" w14:textId="3FEC72A1" w:rsidR="0005707E" w:rsidRPr="00CC6BE6" w:rsidRDefault="004C352F" w:rsidP="000121A5">
            <w:pPr>
              <w:jc w:val="center"/>
              <w:rPr>
                <w:sz w:val="17"/>
                <w:szCs w:val="17"/>
              </w:rPr>
            </w:pPr>
            <w:r w:rsidRPr="00CC6BE6">
              <w:rPr>
                <w:sz w:val="17"/>
                <w:szCs w:val="17"/>
              </w:rPr>
              <w:t>-0.0</w:t>
            </w:r>
            <w:r w:rsidR="005545C6">
              <w:rPr>
                <w:sz w:val="17"/>
                <w:szCs w:val="17"/>
              </w:rPr>
              <w:t>17</w:t>
            </w:r>
          </w:p>
        </w:tc>
        <w:tc>
          <w:tcPr>
            <w:tcW w:w="871" w:type="dxa"/>
            <w:vAlign w:val="center"/>
          </w:tcPr>
          <w:p w14:paraId="670DF036" w14:textId="4446FD62" w:rsidR="0005707E" w:rsidRPr="00CC6BE6" w:rsidRDefault="007142C5" w:rsidP="000121A5">
            <w:pPr>
              <w:jc w:val="center"/>
              <w:rPr>
                <w:sz w:val="17"/>
                <w:szCs w:val="17"/>
              </w:rPr>
            </w:pPr>
            <w:r w:rsidRPr="00CC6BE6">
              <w:rPr>
                <w:sz w:val="17"/>
                <w:szCs w:val="17"/>
              </w:rPr>
              <w:t>-0.0</w:t>
            </w:r>
            <w:r w:rsidR="00573B69">
              <w:rPr>
                <w:sz w:val="17"/>
                <w:szCs w:val="17"/>
              </w:rPr>
              <w:t>46</w:t>
            </w:r>
          </w:p>
        </w:tc>
        <w:tc>
          <w:tcPr>
            <w:tcW w:w="871" w:type="dxa"/>
            <w:vAlign w:val="center"/>
          </w:tcPr>
          <w:p w14:paraId="1CC53624" w14:textId="2104C180" w:rsidR="0005707E" w:rsidRPr="00CC6BE6" w:rsidRDefault="004D1EE0" w:rsidP="000121A5">
            <w:pPr>
              <w:jc w:val="center"/>
              <w:rPr>
                <w:sz w:val="17"/>
                <w:szCs w:val="17"/>
              </w:rPr>
            </w:pPr>
            <w:r w:rsidRPr="00CC6BE6">
              <w:rPr>
                <w:sz w:val="17"/>
                <w:szCs w:val="17"/>
              </w:rPr>
              <w:t>0.0</w:t>
            </w:r>
            <w:r w:rsidR="00B5795C">
              <w:rPr>
                <w:sz w:val="17"/>
                <w:szCs w:val="17"/>
              </w:rPr>
              <w:t>45</w:t>
            </w:r>
          </w:p>
        </w:tc>
        <w:tc>
          <w:tcPr>
            <w:tcW w:w="870" w:type="dxa"/>
            <w:vAlign w:val="center"/>
          </w:tcPr>
          <w:p w14:paraId="54BAB37B" w14:textId="6124BFCB" w:rsidR="0005707E" w:rsidRPr="00CC6BE6" w:rsidRDefault="004D1EE0" w:rsidP="000121A5">
            <w:pPr>
              <w:jc w:val="center"/>
              <w:rPr>
                <w:sz w:val="17"/>
                <w:szCs w:val="17"/>
              </w:rPr>
            </w:pPr>
            <w:r w:rsidRPr="00CC6BE6">
              <w:rPr>
                <w:sz w:val="17"/>
                <w:szCs w:val="17"/>
              </w:rPr>
              <w:t>-0.</w:t>
            </w:r>
            <w:r w:rsidR="00B22A0D" w:rsidRPr="00CC6BE6">
              <w:rPr>
                <w:sz w:val="17"/>
                <w:szCs w:val="17"/>
              </w:rPr>
              <w:t>0</w:t>
            </w:r>
            <w:r w:rsidR="00117A90">
              <w:rPr>
                <w:sz w:val="17"/>
                <w:szCs w:val="17"/>
              </w:rPr>
              <w:t>18</w:t>
            </w:r>
          </w:p>
        </w:tc>
        <w:tc>
          <w:tcPr>
            <w:tcW w:w="871" w:type="dxa"/>
            <w:vAlign w:val="center"/>
          </w:tcPr>
          <w:p w14:paraId="19845C90" w14:textId="32FEE0D2" w:rsidR="0005707E" w:rsidRPr="00CC6BE6" w:rsidRDefault="00B22A0D" w:rsidP="000121A5">
            <w:pPr>
              <w:jc w:val="center"/>
              <w:rPr>
                <w:sz w:val="17"/>
                <w:szCs w:val="17"/>
              </w:rPr>
            </w:pPr>
            <w:r w:rsidRPr="00CC6BE6">
              <w:rPr>
                <w:sz w:val="17"/>
                <w:szCs w:val="17"/>
              </w:rPr>
              <w:t>0.0</w:t>
            </w:r>
            <w:r w:rsidR="006C0771">
              <w:rPr>
                <w:sz w:val="17"/>
                <w:szCs w:val="17"/>
              </w:rPr>
              <w:t>52</w:t>
            </w:r>
            <w:r w:rsidRPr="00CC6BE6">
              <w:rPr>
                <w:sz w:val="17"/>
                <w:szCs w:val="17"/>
              </w:rPr>
              <w:t>*</w:t>
            </w:r>
          </w:p>
        </w:tc>
        <w:tc>
          <w:tcPr>
            <w:tcW w:w="871" w:type="dxa"/>
            <w:vAlign w:val="center"/>
          </w:tcPr>
          <w:p w14:paraId="05DFC2DA" w14:textId="4AB09256" w:rsidR="0005707E" w:rsidRPr="00CC6BE6" w:rsidRDefault="007239CE" w:rsidP="000121A5">
            <w:pPr>
              <w:jc w:val="center"/>
              <w:rPr>
                <w:sz w:val="17"/>
                <w:szCs w:val="17"/>
              </w:rPr>
            </w:pPr>
            <w:r w:rsidRPr="00CC6BE6">
              <w:rPr>
                <w:sz w:val="17"/>
                <w:szCs w:val="17"/>
              </w:rPr>
              <w:t>0.</w:t>
            </w:r>
            <w:r w:rsidR="00A213CC">
              <w:rPr>
                <w:sz w:val="17"/>
                <w:szCs w:val="17"/>
              </w:rPr>
              <w:t>019</w:t>
            </w:r>
          </w:p>
        </w:tc>
        <w:tc>
          <w:tcPr>
            <w:tcW w:w="871" w:type="dxa"/>
            <w:vAlign w:val="center"/>
          </w:tcPr>
          <w:p w14:paraId="7442E40F" w14:textId="26FEBA4F" w:rsidR="0005707E" w:rsidRPr="00CC6BE6" w:rsidRDefault="00D33C72" w:rsidP="000121A5">
            <w:pPr>
              <w:jc w:val="center"/>
              <w:rPr>
                <w:sz w:val="17"/>
                <w:szCs w:val="17"/>
              </w:rPr>
            </w:pPr>
            <w:r w:rsidRPr="00CC6BE6">
              <w:rPr>
                <w:sz w:val="17"/>
                <w:szCs w:val="17"/>
              </w:rPr>
              <w:t>0.0</w:t>
            </w:r>
            <w:r w:rsidR="004F3F7E">
              <w:rPr>
                <w:sz w:val="17"/>
                <w:szCs w:val="17"/>
              </w:rPr>
              <w:t>07</w:t>
            </w:r>
          </w:p>
        </w:tc>
        <w:tc>
          <w:tcPr>
            <w:tcW w:w="871" w:type="dxa"/>
            <w:vAlign w:val="center"/>
          </w:tcPr>
          <w:p w14:paraId="4533FC80" w14:textId="4D0A1BB6" w:rsidR="0005707E" w:rsidRPr="00CC6BE6" w:rsidRDefault="00D33C72" w:rsidP="000121A5">
            <w:pPr>
              <w:jc w:val="center"/>
              <w:rPr>
                <w:sz w:val="17"/>
                <w:szCs w:val="17"/>
              </w:rPr>
            </w:pPr>
            <w:r w:rsidRPr="00CC6BE6">
              <w:rPr>
                <w:sz w:val="17"/>
                <w:szCs w:val="17"/>
              </w:rPr>
              <w:t>-0.0</w:t>
            </w:r>
            <w:r w:rsidR="00E97793">
              <w:rPr>
                <w:sz w:val="17"/>
                <w:szCs w:val="17"/>
              </w:rPr>
              <w:t>63</w:t>
            </w:r>
            <w:r w:rsidRPr="00CC6BE6">
              <w:rPr>
                <w:sz w:val="17"/>
                <w:szCs w:val="17"/>
              </w:rPr>
              <w:t>*</w:t>
            </w:r>
          </w:p>
        </w:tc>
        <w:tc>
          <w:tcPr>
            <w:tcW w:w="870" w:type="dxa"/>
            <w:vAlign w:val="center"/>
          </w:tcPr>
          <w:p w14:paraId="766A8773" w14:textId="5BDA540F" w:rsidR="0005707E" w:rsidRPr="00CC6BE6" w:rsidRDefault="00E30BCF" w:rsidP="000121A5">
            <w:pPr>
              <w:jc w:val="center"/>
              <w:rPr>
                <w:sz w:val="17"/>
                <w:szCs w:val="17"/>
              </w:rPr>
            </w:pPr>
            <w:r w:rsidRPr="00CC6BE6">
              <w:rPr>
                <w:sz w:val="17"/>
                <w:szCs w:val="17"/>
              </w:rPr>
              <w:t>0.02</w:t>
            </w:r>
            <w:r w:rsidR="00A65636">
              <w:rPr>
                <w:sz w:val="17"/>
                <w:szCs w:val="17"/>
              </w:rPr>
              <w:t>7*</w:t>
            </w:r>
          </w:p>
        </w:tc>
        <w:tc>
          <w:tcPr>
            <w:tcW w:w="871" w:type="dxa"/>
            <w:vAlign w:val="center"/>
          </w:tcPr>
          <w:p w14:paraId="6FDB3585" w14:textId="0E0FD8E5" w:rsidR="0005707E" w:rsidRPr="00CC6BE6" w:rsidRDefault="00E30BCF" w:rsidP="000121A5">
            <w:pPr>
              <w:jc w:val="center"/>
              <w:rPr>
                <w:sz w:val="17"/>
                <w:szCs w:val="17"/>
              </w:rPr>
            </w:pPr>
            <w:r w:rsidRPr="00CC6BE6">
              <w:rPr>
                <w:sz w:val="17"/>
                <w:szCs w:val="17"/>
              </w:rPr>
              <w:t>0.0</w:t>
            </w:r>
            <w:r w:rsidR="00486263">
              <w:rPr>
                <w:sz w:val="17"/>
                <w:szCs w:val="17"/>
              </w:rPr>
              <w:t>13</w:t>
            </w:r>
          </w:p>
        </w:tc>
        <w:tc>
          <w:tcPr>
            <w:tcW w:w="871" w:type="dxa"/>
            <w:vAlign w:val="center"/>
          </w:tcPr>
          <w:p w14:paraId="47A11B23" w14:textId="36F2ACAA" w:rsidR="0005707E" w:rsidRPr="00CC6BE6" w:rsidRDefault="00E30BCF" w:rsidP="000121A5">
            <w:pPr>
              <w:jc w:val="center"/>
              <w:rPr>
                <w:sz w:val="17"/>
                <w:szCs w:val="17"/>
              </w:rPr>
            </w:pPr>
            <w:r w:rsidRPr="00CC6BE6">
              <w:rPr>
                <w:sz w:val="17"/>
                <w:szCs w:val="17"/>
              </w:rPr>
              <w:t>0.0</w:t>
            </w:r>
            <w:r w:rsidR="00A83FD8">
              <w:rPr>
                <w:sz w:val="17"/>
                <w:szCs w:val="17"/>
              </w:rPr>
              <w:t>001</w:t>
            </w:r>
          </w:p>
        </w:tc>
        <w:tc>
          <w:tcPr>
            <w:tcW w:w="871" w:type="dxa"/>
            <w:vAlign w:val="center"/>
          </w:tcPr>
          <w:p w14:paraId="0A9AF63E" w14:textId="2EA63221" w:rsidR="0005707E" w:rsidRPr="00CC6BE6" w:rsidRDefault="0005707E" w:rsidP="000121A5">
            <w:pPr>
              <w:jc w:val="center"/>
              <w:rPr>
                <w:sz w:val="17"/>
                <w:szCs w:val="17"/>
              </w:rPr>
            </w:pPr>
            <w:r w:rsidRPr="00CC6BE6">
              <w:rPr>
                <w:sz w:val="17"/>
                <w:szCs w:val="17"/>
              </w:rPr>
              <w:t>1</w:t>
            </w:r>
          </w:p>
        </w:tc>
        <w:tc>
          <w:tcPr>
            <w:tcW w:w="871" w:type="dxa"/>
            <w:vAlign w:val="center"/>
          </w:tcPr>
          <w:p w14:paraId="75E56AE8" w14:textId="38DDF9A6" w:rsidR="0005707E" w:rsidRPr="00CC6BE6" w:rsidRDefault="0005707E" w:rsidP="000121A5">
            <w:pPr>
              <w:jc w:val="center"/>
              <w:rPr>
                <w:sz w:val="17"/>
                <w:szCs w:val="17"/>
              </w:rPr>
            </w:pPr>
          </w:p>
        </w:tc>
        <w:tc>
          <w:tcPr>
            <w:tcW w:w="850" w:type="dxa"/>
            <w:vAlign w:val="center"/>
          </w:tcPr>
          <w:p w14:paraId="7D4343EF" w14:textId="77777777" w:rsidR="0005707E" w:rsidRPr="00CC6BE6" w:rsidRDefault="0005707E" w:rsidP="000121A5">
            <w:pPr>
              <w:jc w:val="center"/>
              <w:rPr>
                <w:sz w:val="17"/>
                <w:szCs w:val="17"/>
              </w:rPr>
            </w:pPr>
          </w:p>
        </w:tc>
        <w:tc>
          <w:tcPr>
            <w:tcW w:w="709" w:type="dxa"/>
            <w:vAlign w:val="center"/>
          </w:tcPr>
          <w:p w14:paraId="23A3F155" w14:textId="77777777" w:rsidR="0005707E" w:rsidRPr="00CC6BE6" w:rsidRDefault="0005707E" w:rsidP="000121A5">
            <w:pPr>
              <w:jc w:val="center"/>
              <w:rPr>
                <w:sz w:val="17"/>
                <w:szCs w:val="17"/>
              </w:rPr>
            </w:pPr>
          </w:p>
        </w:tc>
      </w:tr>
      <w:tr w:rsidR="00A201A5" w:rsidRPr="00380DA5" w14:paraId="2EC99BDD" w14:textId="0FE6283F" w:rsidTr="000C34D0">
        <w:tc>
          <w:tcPr>
            <w:tcW w:w="1276" w:type="dxa"/>
            <w:tcBorders>
              <w:right w:val="single" w:sz="4" w:space="0" w:color="auto"/>
            </w:tcBorders>
            <w:vAlign w:val="center"/>
          </w:tcPr>
          <w:p w14:paraId="6F4F078A" w14:textId="0EC57058" w:rsidR="0005707E" w:rsidRPr="00B01254" w:rsidRDefault="0005707E" w:rsidP="000121A5">
            <w:pPr>
              <w:rPr>
                <w:sz w:val="13"/>
                <w:szCs w:val="13"/>
              </w:rPr>
            </w:pPr>
            <w:r w:rsidRPr="00B01254">
              <w:rPr>
                <w:sz w:val="13"/>
                <w:szCs w:val="13"/>
              </w:rPr>
              <w:t>Education</w:t>
            </w:r>
          </w:p>
        </w:tc>
        <w:tc>
          <w:tcPr>
            <w:tcW w:w="870" w:type="dxa"/>
            <w:tcBorders>
              <w:left w:val="single" w:sz="4" w:space="0" w:color="auto"/>
            </w:tcBorders>
            <w:vAlign w:val="center"/>
          </w:tcPr>
          <w:p w14:paraId="37DD3FE6" w14:textId="5E2CE75E" w:rsidR="0005707E" w:rsidRPr="00CC6BE6" w:rsidRDefault="0005707E" w:rsidP="000121A5">
            <w:pPr>
              <w:jc w:val="center"/>
              <w:rPr>
                <w:sz w:val="17"/>
                <w:szCs w:val="17"/>
              </w:rPr>
            </w:pPr>
            <w:r w:rsidRPr="00CC6BE6">
              <w:rPr>
                <w:sz w:val="17"/>
                <w:szCs w:val="17"/>
              </w:rPr>
              <w:t>-0.0</w:t>
            </w:r>
            <w:r w:rsidR="001D0D6C">
              <w:rPr>
                <w:sz w:val="17"/>
                <w:szCs w:val="17"/>
              </w:rPr>
              <w:t>33</w:t>
            </w:r>
            <w:r w:rsidRPr="00CC6BE6">
              <w:rPr>
                <w:sz w:val="17"/>
                <w:szCs w:val="17"/>
              </w:rPr>
              <w:t>*</w:t>
            </w:r>
          </w:p>
        </w:tc>
        <w:tc>
          <w:tcPr>
            <w:tcW w:w="871" w:type="dxa"/>
            <w:vAlign w:val="center"/>
          </w:tcPr>
          <w:p w14:paraId="3DE91EE4" w14:textId="5C835D26" w:rsidR="0005707E" w:rsidRPr="00CC6BE6" w:rsidRDefault="004C352F" w:rsidP="000121A5">
            <w:pPr>
              <w:jc w:val="center"/>
              <w:rPr>
                <w:sz w:val="17"/>
                <w:szCs w:val="17"/>
              </w:rPr>
            </w:pPr>
            <w:r w:rsidRPr="00CC6BE6">
              <w:rPr>
                <w:sz w:val="17"/>
                <w:szCs w:val="17"/>
              </w:rPr>
              <w:t>-0.0</w:t>
            </w:r>
            <w:r w:rsidR="005545C6">
              <w:rPr>
                <w:sz w:val="17"/>
                <w:szCs w:val="17"/>
              </w:rPr>
              <w:t>65</w:t>
            </w:r>
            <w:r w:rsidRPr="00CC6BE6">
              <w:rPr>
                <w:sz w:val="17"/>
                <w:szCs w:val="17"/>
              </w:rPr>
              <w:t>*</w:t>
            </w:r>
          </w:p>
        </w:tc>
        <w:tc>
          <w:tcPr>
            <w:tcW w:w="871" w:type="dxa"/>
            <w:vAlign w:val="center"/>
          </w:tcPr>
          <w:p w14:paraId="3352DD7B" w14:textId="3EB52D73" w:rsidR="0005707E" w:rsidRPr="00CC6BE6" w:rsidRDefault="007142C5" w:rsidP="000121A5">
            <w:pPr>
              <w:jc w:val="center"/>
              <w:rPr>
                <w:sz w:val="17"/>
                <w:szCs w:val="17"/>
              </w:rPr>
            </w:pPr>
            <w:r w:rsidRPr="00CC6BE6">
              <w:rPr>
                <w:sz w:val="17"/>
                <w:szCs w:val="17"/>
              </w:rPr>
              <w:t>-0.0</w:t>
            </w:r>
            <w:r w:rsidR="00573B69">
              <w:rPr>
                <w:sz w:val="17"/>
                <w:szCs w:val="17"/>
              </w:rPr>
              <w:t>78</w:t>
            </w:r>
            <w:r w:rsidRPr="00CC6BE6">
              <w:rPr>
                <w:sz w:val="17"/>
                <w:szCs w:val="17"/>
              </w:rPr>
              <w:t>*</w:t>
            </w:r>
          </w:p>
        </w:tc>
        <w:tc>
          <w:tcPr>
            <w:tcW w:w="871" w:type="dxa"/>
            <w:vAlign w:val="center"/>
          </w:tcPr>
          <w:p w14:paraId="0D078A8F" w14:textId="2180247A" w:rsidR="0005707E" w:rsidRPr="00CC6BE6" w:rsidRDefault="004D1EE0" w:rsidP="000121A5">
            <w:pPr>
              <w:jc w:val="center"/>
              <w:rPr>
                <w:sz w:val="17"/>
                <w:szCs w:val="17"/>
              </w:rPr>
            </w:pPr>
            <w:r w:rsidRPr="00CC6BE6">
              <w:rPr>
                <w:sz w:val="17"/>
                <w:szCs w:val="17"/>
              </w:rPr>
              <w:t>0.1</w:t>
            </w:r>
            <w:r w:rsidR="00B5795C">
              <w:rPr>
                <w:sz w:val="17"/>
                <w:szCs w:val="17"/>
              </w:rPr>
              <w:t>02</w:t>
            </w:r>
            <w:r w:rsidRPr="00CC6BE6">
              <w:rPr>
                <w:sz w:val="17"/>
                <w:szCs w:val="17"/>
              </w:rPr>
              <w:t>*</w:t>
            </w:r>
          </w:p>
        </w:tc>
        <w:tc>
          <w:tcPr>
            <w:tcW w:w="870" w:type="dxa"/>
            <w:vAlign w:val="center"/>
          </w:tcPr>
          <w:p w14:paraId="755B3F60" w14:textId="7FBC626C" w:rsidR="0005707E" w:rsidRPr="00CC6BE6" w:rsidRDefault="00B22A0D" w:rsidP="000121A5">
            <w:pPr>
              <w:jc w:val="center"/>
              <w:rPr>
                <w:sz w:val="17"/>
                <w:szCs w:val="17"/>
              </w:rPr>
            </w:pPr>
            <w:r w:rsidRPr="00CC6BE6">
              <w:rPr>
                <w:sz w:val="17"/>
                <w:szCs w:val="17"/>
              </w:rPr>
              <w:t>0.</w:t>
            </w:r>
            <w:r w:rsidR="004E5522">
              <w:rPr>
                <w:sz w:val="17"/>
                <w:szCs w:val="17"/>
              </w:rPr>
              <w:t>097</w:t>
            </w:r>
            <w:r w:rsidRPr="00CC6BE6">
              <w:rPr>
                <w:sz w:val="17"/>
                <w:szCs w:val="17"/>
              </w:rPr>
              <w:t>*</w:t>
            </w:r>
          </w:p>
        </w:tc>
        <w:tc>
          <w:tcPr>
            <w:tcW w:w="871" w:type="dxa"/>
            <w:vAlign w:val="center"/>
          </w:tcPr>
          <w:p w14:paraId="489B4541" w14:textId="0816C0A5" w:rsidR="0005707E" w:rsidRPr="00CC6BE6" w:rsidRDefault="00B22A0D" w:rsidP="000121A5">
            <w:pPr>
              <w:jc w:val="center"/>
              <w:rPr>
                <w:sz w:val="17"/>
                <w:szCs w:val="17"/>
              </w:rPr>
            </w:pPr>
            <w:r w:rsidRPr="00CC6BE6">
              <w:rPr>
                <w:sz w:val="17"/>
                <w:szCs w:val="17"/>
              </w:rPr>
              <w:t>-0.3</w:t>
            </w:r>
            <w:r w:rsidR="006C0771">
              <w:rPr>
                <w:sz w:val="17"/>
                <w:szCs w:val="17"/>
              </w:rPr>
              <w:t>43</w:t>
            </w:r>
            <w:r w:rsidRPr="00CC6BE6">
              <w:rPr>
                <w:sz w:val="17"/>
                <w:szCs w:val="17"/>
              </w:rPr>
              <w:t>*</w:t>
            </w:r>
          </w:p>
        </w:tc>
        <w:tc>
          <w:tcPr>
            <w:tcW w:w="871" w:type="dxa"/>
            <w:vAlign w:val="center"/>
          </w:tcPr>
          <w:p w14:paraId="07BCA05D" w14:textId="4D5AD29F" w:rsidR="0005707E" w:rsidRPr="00CC6BE6" w:rsidRDefault="007239CE" w:rsidP="000121A5">
            <w:pPr>
              <w:jc w:val="center"/>
              <w:rPr>
                <w:sz w:val="17"/>
                <w:szCs w:val="17"/>
              </w:rPr>
            </w:pPr>
            <w:r w:rsidRPr="00CC6BE6">
              <w:rPr>
                <w:sz w:val="17"/>
                <w:szCs w:val="17"/>
              </w:rPr>
              <w:t>0.2</w:t>
            </w:r>
            <w:r w:rsidR="00A213CC">
              <w:rPr>
                <w:sz w:val="17"/>
                <w:szCs w:val="17"/>
              </w:rPr>
              <w:t>13</w:t>
            </w:r>
            <w:r w:rsidRPr="00CC6BE6">
              <w:rPr>
                <w:sz w:val="17"/>
                <w:szCs w:val="17"/>
              </w:rPr>
              <w:t>*</w:t>
            </w:r>
          </w:p>
        </w:tc>
        <w:tc>
          <w:tcPr>
            <w:tcW w:w="871" w:type="dxa"/>
            <w:vAlign w:val="center"/>
          </w:tcPr>
          <w:p w14:paraId="6A60C9C7" w14:textId="3878EFAB" w:rsidR="0005707E" w:rsidRPr="00CC6BE6" w:rsidRDefault="00D33C72" w:rsidP="000121A5">
            <w:pPr>
              <w:jc w:val="center"/>
              <w:rPr>
                <w:sz w:val="17"/>
                <w:szCs w:val="17"/>
              </w:rPr>
            </w:pPr>
            <w:r w:rsidRPr="00CC6BE6">
              <w:rPr>
                <w:sz w:val="17"/>
                <w:szCs w:val="17"/>
              </w:rPr>
              <w:t>-0.</w:t>
            </w:r>
            <w:r w:rsidR="00126343">
              <w:rPr>
                <w:sz w:val="17"/>
                <w:szCs w:val="17"/>
              </w:rPr>
              <w:t>188</w:t>
            </w:r>
            <w:r w:rsidRPr="00CC6BE6">
              <w:rPr>
                <w:sz w:val="17"/>
                <w:szCs w:val="17"/>
              </w:rPr>
              <w:t>*</w:t>
            </w:r>
          </w:p>
        </w:tc>
        <w:tc>
          <w:tcPr>
            <w:tcW w:w="871" w:type="dxa"/>
            <w:vAlign w:val="center"/>
          </w:tcPr>
          <w:p w14:paraId="1E29C7C3" w14:textId="05B8991E" w:rsidR="0005707E" w:rsidRPr="00CC6BE6" w:rsidRDefault="00D33C72" w:rsidP="000121A5">
            <w:pPr>
              <w:jc w:val="center"/>
              <w:rPr>
                <w:sz w:val="17"/>
                <w:szCs w:val="17"/>
              </w:rPr>
            </w:pPr>
            <w:r w:rsidRPr="00CC6BE6">
              <w:rPr>
                <w:sz w:val="17"/>
                <w:szCs w:val="17"/>
              </w:rPr>
              <w:t>0.18</w:t>
            </w:r>
            <w:r w:rsidR="00E97793">
              <w:rPr>
                <w:sz w:val="17"/>
                <w:szCs w:val="17"/>
              </w:rPr>
              <w:t>1</w:t>
            </w:r>
            <w:r w:rsidRPr="00CC6BE6">
              <w:rPr>
                <w:sz w:val="17"/>
                <w:szCs w:val="17"/>
              </w:rPr>
              <w:t>*</w:t>
            </w:r>
          </w:p>
        </w:tc>
        <w:tc>
          <w:tcPr>
            <w:tcW w:w="870" w:type="dxa"/>
            <w:vAlign w:val="center"/>
          </w:tcPr>
          <w:p w14:paraId="43E14FF8" w14:textId="2D1CC35B" w:rsidR="0005707E" w:rsidRPr="00CC6BE6" w:rsidRDefault="00E30BCF" w:rsidP="000121A5">
            <w:pPr>
              <w:jc w:val="center"/>
              <w:rPr>
                <w:sz w:val="17"/>
                <w:szCs w:val="17"/>
              </w:rPr>
            </w:pPr>
            <w:r w:rsidRPr="00CC6BE6">
              <w:rPr>
                <w:sz w:val="17"/>
                <w:szCs w:val="17"/>
              </w:rPr>
              <w:t>-0.1</w:t>
            </w:r>
            <w:r w:rsidR="00A65636">
              <w:rPr>
                <w:sz w:val="17"/>
                <w:szCs w:val="17"/>
              </w:rPr>
              <w:t>56</w:t>
            </w:r>
            <w:r w:rsidRPr="00CC6BE6">
              <w:rPr>
                <w:sz w:val="17"/>
                <w:szCs w:val="17"/>
              </w:rPr>
              <w:t>*</w:t>
            </w:r>
          </w:p>
        </w:tc>
        <w:tc>
          <w:tcPr>
            <w:tcW w:w="871" w:type="dxa"/>
            <w:vAlign w:val="center"/>
          </w:tcPr>
          <w:p w14:paraId="35C5A58D" w14:textId="29270FF0" w:rsidR="0005707E" w:rsidRPr="00CC6BE6" w:rsidRDefault="00E30BCF" w:rsidP="000121A5">
            <w:pPr>
              <w:jc w:val="center"/>
              <w:rPr>
                <w:sz w:val="17"/>
                <w:szCs w:val="17"/>
              </w:rPr>
            </w:pPr>
            <w:r w:rsidRPr="00CC6BE6">
              <w:rPr>
                <w:sz w:val="17"/>
                <w:szCs w:val="17"/>
              </w:rPr>
              <w:t>0.1</w:t>
            </w:r>
            <w:r w:rsidR="00486263">
              <w:rPr>
                <w:sz w:val="17"/>
                <w:szCs w:val="17"/>
              </w:rPr>
              <w:t>86</w:t>
            </w:r>
            <w:r w:rsidRPr="00CC6BE6">
              <w:rPr>
                <w:sz w:val="17"/>
                <w:szCs w:val="17"/>
              </w:rPr>
              <w:t>*</w:t>
            </w:r>
          </w:p>
        </w:tc>
        <w:tc>
          <w:tcPr>
            <w:tcW w:w="871" w:type="dxa"/>
            <w:vAlign w:val="center"/>
          </w:tcPr>
          <w:p w14:paraId="7A6CDE7F" w14:textId="4AE6D235" w:rsidR="0005707E" w:rsidRPr="00CC6BE6" w:rsidRDefault="00E30BCF" w:rsidP="000121A5">
            <w:pPr>
              <w:jc w:val="center"/>
              <w:rPr>
                <w:sz w:val="17"/>
                <w:szCs w:val="17"/>
              </w:rPr>
            </w:pPr>
            <w:r w:rsidRPr="00CC6BE6">
              <w:rPr>
                <w:sz w:val="17"/>
                <w:szCs w:val="17"/>
              </w:rPr>
              <w:t>-0.34</w:t>
            </w:r>
            <w:r w:rsidR="00A83FD8">
              <w:rPr>
                <w:sz w:val="17"/>
                <w:szCs w:val="17"/>
              </w:rPr>
              <w:t>1</w:t>
            </w:r>
            <w:r w:rsidRPr="00CC6BE6">
              <w:rPr>
                <w:sz w:val="17"/>
                <w:szCs w:val="17"/>
              </w:rPr>
              <w:t>*</w:t>
            </w:r>
          </w:p>
        </w:tc>
        <w:tc>
          <w:tcPr>
            <w:tcW w:w="871" w:type="dxa"/>
            <w:vAlign w:val="center"/>
          </w:tcPr>
          <w:p w14:paraId="3DA0AAE5" w14:textId="25BDA744" w:rsidR="0005707E" w:rsidRPr="00CC6BE6" w:rsidRDefault="00511E42" w:rsidP="000121A5">
            <w:pPr>
              <w:jc w:val="center"/>
              <w:rPr>
                <w:sz w:val="17"/>
                <w:szCs w:val="17"/>
              </w:rPr>
            </w:pPr>
            <w:r w:rsidRPr="00CC6BE6">
              <w:rPr>
                <w:sz w:val="17"/>
                <w:szCs w:val="17"/>
              </w:rPr>
              <w:t>-0.0</w:t>
            </w:r>
            <w:r w:rsidR="001B4512">
              <w:rPr>
                <w:sz w:val="17"/>
                <w:szCs w:val="17"/>
              </w:rPr>
              <w:t>61</w:t>
            </w:r>
            <w:r w:rsidRPr="00CC6BE6">
              <w:rPr>
                <w:sz w:val="17"/>
                <w:szCs w:val="17"/>
              </w:rPr>
              <w:t>*</w:t>
            </w:r>
          </w:p>
        </w:tc>
        <w:tc>
          <w:tcPr>
            <w:tcW w:w="871" w:type="dxa"/>
            <w:vAlign w:val="center"/>
          </w:tcPr>
          <w:p w14:paraId="57C8D74D" w14:textId="36BF3118" w:rsidR="0005707E" w:rsidRPr="00CC6BE6" w:rsidRDefault="0005707E" w:rsidP="000121A5">
            <w:pPr>
              <w:jc w:val="center"/>
              <w:rPr>
                <w:sz w:val="17"/>
                <w:szCs w:val="17"/>
              </w:rPr>
            </w:pPr>
            <w:r w:rsidRPr="00CC6BE6">
              <w:rPr>
                <w:sz w:val="17"/>
                <w:szCs w:val="17"/>
              </w:rPr>
              <w:t>1</w:t>
            </w:r>
          </w:p>
        </w:tc>
        <w:tc>
          <w:tcPr>
            <w:tcW w:w="850" w:type="dxa"/>
            <w:vAlign w:val="center"/>
          </w:tcPr>
          <w:p w14:paraId="4EF88315" w14:textId="5FCB2CC0" w:rsidR="0005707E" w:rsidRPr="00CC6BE6" w:rsidRDefault="0005707E" w:rsidP="000121A5">
            <w:pPr>
              <w:jc w:val="center"/>
              <w:rPr>
                <w:sz w:val="17"/>
                <w:szCs w:val="17"/>
              </w:rPr>
            </w:pPr>
          </w:p>
        </w:tc>
        <w:tc>
          <w:tcPr>
            <w:tcW w:w="709" w:type="dxa"/>
            <w:vAlign w:val="center"/>
          </w:tcPr>
          <w:p w14:paraId="0BA2A94B" w14:textId="77777777" w:rsidR="0005707E" w:rsidRPr="00CC6BE6" w:rsidRDefault="0005707E" w:rsidP="000121A5">
            <w:pPr>
              <w:jc w:val="center"/>
              <w:rPr>
                <w:sz w:val="17"/>
                <w:szCs w:val="17"/>
              </w:rPr>
            </w:pPr>
          </w:p>
        </w:tc>
      </w:tr>
      <w:tr w:rsidR="00A201A5" w:rsidRPr="00380DA5" w14:paraId="10BA5E71" w14:textId="0C71691B" w:rsidTr="000C34D0">
        <w:tc>
          <w:tcPr>
            <w:tcW w:w="1276" w:type="dxa"/>
            <w:tcBorders>
              <w:right w:val="single" w:sz="4" w:space="0" w:color="auto"/>
            </w:tcBorders>
            <w:vAlign w:val="center"/>
          </w:tcPr>
          <w:p w14:paraId="19935B93" w14:textId="47738F79" w:rsidR="0005707E" w:rsidRPr="00B01254" w:rsidRDefault="0005707E" w:rsidP="000121A5">
            <w:pPr>
              <w:rPr>
                <w:sz w:val="13"/>
                <w:szCs w:val="13"/>
              </w:rPr>
            </w:pPr>
            <w:r w:rsidRPr="00B01254">
              <w:rPr>
                <w:sz w:val="13"/>
                <w:szCs w:val="13"/>
              </w:rPr>
              <w:t xml:space="preserve">Social </w:t>
            </w:r>
            <w:r>
              <w:rPr>
                <w:sz w:val="13"/>
                <w:szCs w:val="13"/>
              </w:rPr>
              <w:t>group</w:t>
            </w:r>
            <w:r w:rsidRPr="00B01254">
              <w:rPr>
                <w:sz w:val="13"/>
                <w:szCs w:val="13"/>
              </w:rPr>
              <w:t xml:space="preserve"> member</w:t>
            </w:r>
          </w:p>
        </w:tc>
        <w:tc>
          <w:tcPr>
            <w:tcW w:w="870" w:type="dxa"/>
            <w:tcBorders>
              <w:left w:val="single" w:sz="4" w:space="0" w:color="auto"/>
            </w:tcBorders>
            <w:vAlign w:val="center"/>
          </w:tcPr>
          <w:p w14:paraId="076D41F5" w14:textId="53CE78E2" w:rsidR="0005707E" w:rsidRPr="00CC6BE6" w:rsidRDefault="0005707E" w:rsidP="000121A5">
            <w:pPr>
              <w:jc w:val="center"/>
              <w:rPr>
                <w:sz w:val="17"/>
                <w:szCs w:val="17"/>
              </w:rPr>
            </w:pPr>
            <w:r w:rsidRPr="00CC6BE6">
              <w:rPr>
                <w:sz w:val="17"/>
                <w:szCs w:val="17"/>
              </w:rPr>
              <w:t>-0.0</w:t>
            </w:r>
            <w:r w:rsidR="001D0D6C">
              <w:rPr>
                <w:sz w:val="17"/>
                <w:szCs w:val="17"/>
              </w:rPr>
              <w:t>58</w:t>
            </w:r>
            <w:r w:rsidRPr="00CC6BE6">
              <w:rPr>
                <w:sz w:val="17"/>
                <w:szCs w:val="17"/>
              </w:rPr>
              <w:t>*</w:t>
            </w:r>
          </w:p>
        </w:tc>
        <w:tc>
          <w:tcPr>
            <w:tcW w:w="871" w:type="dxa"/>
            <w:vAlign w:val="center"/>
          </w:tcPr>
          <w:p w14:paraId="05881139" w14:textId="6E4437CD" w:rsidR="0005707E" w:rsidRPr="00CC6BE6" w:rsidRDefault="004C352F" w:rsidP="000121A5">
            <w:pPr>
              <w:jc w:val="center"/>
              <w:rPr>
                <w:sz w:val="17"/>
                <w:szCs w:val="17"/>
              </w:rPr>
            </w:pPr>
            <w:r w:rsidRPr="00CC6BE6">
              <w:rPr>
                <w:sz w:val="17"/>
                <w:szCs w:val="17"/>
              </w:rPr>
              <w:t>-0.</w:t>
            </w:r>
            <w:r w:rsidR="005545C6">
              <w:rPr>
                <w:sz w:val="17"/>
                <w:szCs w:val="17"/>
              </w:rPr>
              <w:t>084</w:t>
            </w:r>
            <w:r w:rsidRPr="00CC6BE6">
              <w:rPr>
                <w:sz w:val="17"/>
                <w:szCs w:val="17"/>
              </w:rPr>
              <w:t>*</w:t>
            </w:r>
          </w:p>
        </w:tc>
        <w:tc>
          <w:tcPr>
            <w:tcW w:w="871" w:type="dxa"/>
            <w:vAlign w:val="center"/>
          </w:tcPr>
          <w:p w14:paraId="50097A8B" w14:textId="33EF9B70" w:rsidR="0005707E" w:rsidRPr="00CC6BE6" w:rsidRDefault="007142C5" w:rsidP="000121A5">
            <w:pPr>
              <w:jc w:val="center"/>
              <w:rPr>
                <w:sz w:val="17"/>
                <w:szCs w:val="17"/>
              </w:rPr>
            </w:pPr>
            <w:r w:rsidRPr="00CC6BE6">
              <w:rPr>
                <w:sz w:val="17"/>
                <w:szCs w:val="17"/>
              </w:rPr>
              <w:t>0.</w:t>
            </w:r>
            <w:r w:rsidR="00573B69">
              <w:rPr>
                <w:sz w:val="17"/>
                <w:szCs w:val="17"/>
              </w:rPr>
              <w:t>093</w:t>
            </w:r>
            <w:r w:rsidRPr="00CC6BE6">
              <w:rPr>
                <w:sz w:val="17"/>
                <w:szCs w:val="17"/>
              </w:rPr>
              <w:t>*</w:t>
            </w:r>
          </w:p>
        </w:tc>
        <w:tc>
          <w:tcPr>
            <w:tcW w:w="871" w:type="dxa"/>
            <w:vAlign w:val="center"/>
          </w:tcPr>
          <w:p w14:paraId="16AF013D" w14:textId="5496A2FE" w:rsidR="0005707E" w:rsidRPr="00CC6BE6" w:rsidRDefault="004D1EE0" w:rsidP="000121A5">
            <w:pPr>
              <w:jc w:val="center"/>
              <w:rPr>
                <w:sz w:val="17"/>
                <w:szCs w:val="17"/>
              </w:rPr>
            </w:pPr>
            <w:r w:rsidRPr="00CC6BE6">
              <w:rPr>
                <w:sz w:val="17"/>
                <w:szCs w:val="17"/>
              </w:rPr>
              <w:t>0.12</w:t>
            </w:r>
            <w:r w:rsidR="00B5795C">
              <w:rPr>
                <w:sz w:val="17"/>
                <w:szCs w:val="17"/>
              </w:rPr>
              <w:t>4</w:t>
            </w:r>
            <w:r w:rsidRPr="00CC6BE6">
              <w:rPr>
                <w:sz w:val="17"/>
                <w:szCs w:val="17"/>
              </w:rPr>
              <w:t>*</w:t>
            </w:r>
          </w:p>
        </w:tc>
        <w:tc>
          <w:tcPr>
            <w:tcW w:w="870" w:type="dxa"/>
            <w:vAlign w:val="center"/>
          </w:tcPr>
          <w:p w14:paraId="52CF335C" w14:textId="79F6E497" w:rsidR="0005707E" w:rsidRPr="00CC6BE6" w:rsidRDefault="00B22A0D" w:rsidP="000121A5">
            <w:pPr>
              <w:jc w:val="center"/>
              <w:rPr>
                <w:sz w:val="17"/>
                <w:szCs w:val="17"/>
              </w:rPr>
            </w:pPr>
            <w:r w:rsidRPr="00CC6BE6">
              <w:rPr>
                <w:sz w:val="17"/>
                <w:szCs w:val="17"/>
              </w:rPr>
              <w:t>-0.0</w:t>
            </w:r>
            <w:r w:rsidR="004E5522">
              <w:rPr>
                <w:sz w:val="17"/>
                <w:szCs w:val="17"/>
              </w:rPr>
              <w:t>40</w:t>
            </w:r>
            <w:r w:rsidRPr="00CC6BE6">
              <w:rPr>
                <w:sz w:val="17"/>
                <w:szCs w:val="17"/>
              </w:rPr>
              <w:t>*</w:t>
            </w:r>
          </w:p>
        </w:tc>
        <w:tc>
          <w:tcPr>
            <w:tcW w:w="871" w:type="dxa"/>
            <w:vAlign w:val="center"/>
          </w:tcPr>
          <w:p w14:paraId="71F24515" w14:textId="49DEF992" w:rsidR="0005707E" w:rsidRPr="00CC6BE6" w:rsidRDefault="00B22A0D" w:rsidP="000121A5">
            <w:pPr>
              <w:jc w:val="center"/>
              <w:rPr>
                <w:sz w:val="17"/>
                <w:szCs w:val="17"/>
              </w:rPr>
            </w:pPr>
            <w:r w:rsidRPr="00CC6BE6">
              <w:rPr>
                <w:sz w:val="17"/>
                <w:szCs w:val="17"/>
              </w:rPr>
              <w:t>-0.0</w:t>
            </w:r>
            <w:r w:rsidR="003476E6">
              <w:rPr>
                <w:sz w:val="17"/>
                <w:szCs w:val="17"/>
              </w:rPr>
              <w:t>71</w:t>
            </w:r>
            <w:r w:rsidRPr="00CC6BE6">
              <w:rPr>
                <w:sz w:val="17"/>
                <w:szCs w:val="17"/>
              </w:rPr>
              <w:t>*</w:t>
            </w:r>
          </w:p>
        </w:tc>
        <w:tc>
          <w:tcPr>
            <w:tcW w:w="871" w:type="dxa"/>
            <w:vAlign w:val="center"/>
          </w:tcPr>
          <w:p w14:paraId="76512FB6" w14:textId="423F10A6" w:rsidR="0005707E" w:rsidRPr="00CC6BE6" w:rsidRDefault="007239CE" w:rsidP="000121A5">
            <w:pPr>
              <w:jc w:val="center"/>
              <w:rPr>
                <w:sz w:val="17"/>
                <w:szCs w:val="17"/>
              </w:rPr>
            </w:pPr>
            <w:r w:rsidRPr="00CC6BE6">
              <w:rPr>
                <w:sz w:val="17"/>
                <w:szCs w:val="17"/>
              </w:rPr>
              <w:t>0.1</w:t>
            </w:r>
            <w:r w:rsidR="00A213CC">
              <w:rPr>
                <w:sz w:val="17"/>
                <w:szCs w:val="17"/>
              </w:rPr>
              <w:t>11</w:t>
            </w:r>
            <w:r w:rsidRPr="00CC6BE6">
              <w:rPr>
                <w:sz w:val="17"/>
                <w:szCs w:val="17"/>
              </w:rPr>
              <w:t>*</w:t>
            </w:r>
          </w:p>
        </w:tc>
        <w:tc>
          <w:tcPr>
            <w:tcW w:w="871" w:type="dxa"/>
            <w:vAlign w:val="center"/>
          </w:tcPr>
          <w:p w14:paraId="23A04757" w14:textId="6C37B731" w:rsidR="0005707E" w:rsidRPr="00CC6BE6" w:rsidRDefault="00D33C72" w:rsidP="000121A5">
            <w:pPr>
              <w:jc w:val="center"/>
              <w:rPr>
                <w:sz w:val="17"/>
                <w:szCs w:val="17"/>
              </w:rPr>
            </w:pPr>
            <w:r w:rsidRPr="00CC6BE6">
              <w:rPr>
                <w:sz w:val="17"/>
                <w:szCs w:val="17"/>
              </w:rPr>
              <w:t>-0.</w:t>
            </w:r>
            <w:r w:rsidR="00126343">
              <w:rPr>
                <w:sz w:val="17"/>
                <w:szCs w:val="17"/>
              </w:rPr>
              <w:t>0</w:t>
            </w:r>
            <w:r w:rsidR="004C2070">
              <w:rPr>
                <w:sz w:val="17"/>
                <w:szCs w:val="17"/>
              </w:rPr>
              <w:t>80</w:t>
            </w:r>
            <w:r w:rsidRPr="00CC6BE6">
              <w:rPr>
                <w:sz w:val="17"/>
                <w:szCs w:val="17"/>
              </w:rPr>
              <w:t>*</w:t>
            </w:r>
          </w:p>
        </w:tc>
        <w:tc>
          <w:tcPr>
            <w:tcW w:w="871" w:type="dxa"/>
            <w:vAlign w:val="center"/>
          </w:tcPr>
          <w:p w14:paraId="56DD8F93" w14:textId="7DB7B2C0" w:rsidR="0005707E" w:rsidRPr="00CC6BE6" w:rsidRDefault="00D33C72" w:rsidP="000121A5">
            <w:pPr>
              <w:jc w:val="center"/>
              <w:rPr>
                <w:sz w:val="17"/>
                <w:szCs w:val="17"/>
              </w:rPr>
            </w:pPr>
            <w:r w:rsidRPr="00CC6BE6">
              <w:rPr>
                <w:sz w:val="17"/>
                <w:szCs w:val="17"/>
              </w:rPr>
              <w:t>-0.0</w:t>
            </w:r>
            <w:r w:rsidR="009150F4">
              <w:rPr>
                <w:sz w:val="17"/>
                <w:szCs w:val="17"/>
              </w:rPr>
              <w:t>45</w:t>
            </w:r>
            <w:r w:rsidRPr="00CC6BE6">
              <w:rPr>
                <w:sz w:val="17"/>
                <w:szCs w:val="17"/>
              </w:rPr>
              <w:t>*</w:t>
            </w:r>
          </w:p>
        </w:tc>
        <w:tc>
          <w:tcPr>
            <w:tcW w:w="870" w:type="dxa"/>
            <w:vAlign w:val="center"/>
          </w:tcPr>
          <w:p w14:paraId="0CD9D25F" w14:textId="1009A0E5" w:rsidR="0005707E" w:rsidRPr="00CC6BE6" w:rsidRDefault="00E30BCF" w:rsidP="000121A5">
            <w:pPr>
              <w:jc w:val="center"/>
              <w:rPr>
                <w:sz w:val="17"/>
                <w:szCs w:val="17"/>
              </w:rPr>
            </w:pPr>
            <w:r w:rsidRPr="00CC6BE6">
              <w:rPr>
                <w:sz w:val="17"/>
                <w:szCs w:val="17"/>
              </w:rPr>
              <w:t>-0.02</w:t>
            </w:r>
            <w:r w:rsidR="00A65636">
              <w:rPr>
                <w:sz w:val="17"/>
                <w:szCs w:val="17"/>
              </w:rPr>
              <w:t>5*</w:t>
            </w:r>
          </w:p>
        </w:tc>
        <w:tc>
          <w:tcPr>
            <w:tcW w:w="871" w:type="dxa"/>
            <w:vAlign w:val="center"/>
          </w:tcPr>
          <w:p w14:paraId="1B68436E" w14:textId="3781A86D" w:rsidR="0005707E" w:rsidRPr="00CC6BE6" w:rsidRDefault="00E30BCF" w:rsidP="000121A5">
            <w:pPr>
              <w:jc w:val="center"/>
              <w:rPr>
                <w:sz w:val="17"/>
                <w:szCs w:val="17"/>
              </w:rPr>
            </w:pPr>
            <w:r w:rsidRPr="00CC6BE6">
              <w:rPr>
                <w:sz w:val="17"/>
                <w:szCs w:val="17"/>
              </w:rPr>
              <w:t>-0.0</w:t>
            </w:r>
            <w:r w:rsidR="00486263">
              <w:rPr>
                <w:sz w:val="17"/>
                <w:szCs w:val="17"/>
              </w:rPr>
              <w:t>14</w:t>
            </w:r>
          </w:p>
        </w:tc>
        <w:tc>
          <w:tcPr>
            <w:tcW w:w="871" w:type="dxa"/>
            <w:vAlign w:val="center"/>
          </w:tcPr>
          <w:p w14:paraId="09EFA04A" w14:textId="575A7BDA" w:rsidR="0005707E" w:rsidRPr="00CC6BE6" w:rsidRDefault="00511E42" w:rsidP="000121A5">
            <w:pPr>
              <w:jc w:val="center"/>
              <w:rPr>
                <w:sz w:val="17"/>
                <w:szCs w:val="17"/>
              </w:rPr>
            </w:pPr>
            <w:r w:rsidRPr="00CC6BE6">
              <w:rPr>
                <w:sz w:val="17"/>
                <w:szCs w:val="17"/>
              </w:rPr>
              <w:t>-0.0</w:t>
            </w:r>
            <w:r w:rsidR="00A83FD8">
              <w:rPr>
                <w:sz w:val="17"/>
                <w:szCs w:val="17"/>
              </w:rPr>
              <w:t>66</w:t>
            </w:r>
            <w:r w:rsidRPr="00CC6BE6">
              <w:rPr>
                <w:sz w:val="17"/>
                <w:szCs w:val="17"/>
              </w:rPr>
              <w:t>*</w:t>
            </w:r>
          </w:p>
        </w:tc>
        <w:tc>
          <w:tcPr>
            <w:tcW w:w="871" w:type="dxa"/>
            <w:vAlign w:val="center"/>
          </w:tcPr>
          <w:p w14:paraId="48E4FBBE" w14:textId="1C663039" w:rsidR="0005707E" w:rsidRPr="00CC6BE6" w:rsidRDefault="00511E42" w:rsidP="000121A5">
            <w:pPr>
              <w:jc w:val="center"/>
              <w:rPr>
                <w:sz w:val="17"/>
                <w:szCs w:val="17"/>
              </w:rPr>
            </w:pPr>
            <w:r w:rsidRPr="00CC6BE6">
              <w:rPr>
                <w:sz w:val="17"/>
                <w:szCs w:val="17"/>
              </w:rPr>
              <w:t>-0.00</w:t>
            </w:r>
            <w:r w:rsidR="001B4512">
              <w:rPr>
                <w:sz w:val="17"/>
                <w:szCs w:val="17"/>
              </w:rPr>
              <w:t>6</w:t>
            </w:r>
          </w:p>
        </w:tc>
        <w:tc>
          <w:tcPr>
            <w:tcW w:w="871" w:type="dxa"/>
            <w:vAlign w:val="center"/>
          </w:tcPr>
          <w:p w14:paraId="139A7F18" w14:textId="3915F286" w:rsidR="0005707E" w:rsidRPr="00CC6BE6" w:rsidRDefault="00511E42" w:rsidP="000121A5">
            <w:pPr>
              <w:jc w:val="center"/>
              <w:rPr>
                <w:sz w:val="17"/>
                <w:szCs w:val="17"/>
              </w:rPr>
            </w:pPr>
            <w:r w:rsidRPr="00CC6BE6">
              <w:rPr>
                <w:sz w:val="17"/>
                <w:szCs w:val="17"/>
              </w:rPr>
              <w:t>0.1</w:t>
            </w:r>
            <w:r w:rsidR="001B4512">
              <w:rPr>
                <w:sz w:val="17"/>
                <w:szCs w:val="17"/>
              </w:rPr>
              <w:t>42</w:t>
            </w:r>
            <w:r w:rsidRPr="00CC6BE6">
              <w:rPr>
                <w:sz w:val="17"/>
                <w:szCs w:val="17"/>
              </w:rPr>
              <w:t>*</w:t>
            </w:r>
          </w:p>
        </w:tc>
        <w:tc>
          <w:tcPr>
            <w:tcW w:w="850" w:type="dxa"/>
            <w:vAlign w:val="center"/>
          </w:tcPr>
          <w:p w14:paraId="290A71BE" w14:textId="1080A316" w:rsidR="0005707E" w:rsidRPr="00CC6BE6" w:rsidRDefault="0005707E" w:rsidP="000121A5">
            <w:pPr>
              <w:jc w:val="center"/>
              <w:rPr>
                <w:sz w:val="17"/>
                <w:szCs w:val="17"/>
              </w:rPr>
            </w:pPr>
            <w:r w:rsidRPr="00CC6BE6">
              <w:rPr>
                <w:sz w:val="17"/>
                <w:szCs w:val="17"/>
              </w:rPr>
              <w:t>1</w:t>
            </w:r>
          </w:p>
        </w:tc>
        <w:tc>
          <w:tcPr>
            <w:tcW w:w="709" w:type="dxa"/>
            <w:vAlign w:val="center"/>
          </w:tcPr>
          <w:p w14:paraId="75D9F37E" w14:textId="59D78E7F" w:rsidR="0005707E" w:rsidRPr="00CC6BE6" w:rsidRDefault="0005707E" w:rsidP="000121A5">
            <w:pPr>
              <w:jc w:val="center"/>
              <w:rPr>
                <w:sz w:val="17"/>
                <w:szCs w:val="17"/>
              </w:rPr>
            </w:pPr>
          </w:p>
        </w:tc>
      </w:tr>
      <w:tr w:rsidR="00A201A5" w:rsidRPr="00380DA5" w14:paraId="6465825D" w14:textId="77777777" w:rsidTr="000C34D0">
        <w:tc>
          <w:tcPr>
            <w:tcW w:w="1276" w:type="dxa"/>
            <w:tcBorders>
              <w:right w:val="single" w:sz="4" w:space="0" w:color="auto"/>
            </w:tcBorders>
            <w:vAlign w:val="center"/>
          </w:tcPr>
          <w:p w14:paraId="77015FFA" w14:textId="3753F4F1" w:rsidR="0005707E" w:rsidRPr="00B01254" w:rsidRDefault="0005707E" w:rsidP="000121A5">
            <w:pPr>
              <w:rPr>
                <w:sz w:val="13"/>
                <w:szCs w:val="13"/>
              </w:rPr>
            </w:pPr>
            <w:r w:rsidRPr="00B01254">
              <w:rPr>
                <w:sz w:val="13"/>
                <w:szCs w:val="13"/>
              </w:rPr>
              <w:t>Few to count on</w:t>
            </w:r>
          </w:p>
        </w:tc>
        <w:tc>
          <w:tcPr>
            <w:tcW w:w="870" w:type="dxa"/>
            <w:tcBorders>
              <w:left w:val="single" w:sz="4" w:space="0" w:color="auto"/>
            </w:tcBorders>
            <w:vAlign w:val="center"/>
          </w:tcPr>
          <w:p w14:paraId="0ACBF48E" w14:textId="000F5F71" w:rsidR="0005707E" w:rsidRPr="00CC6BE6" w:rsidRDefault="0005707E" w:rsidP="000121A5">
            <w:pPr>
              <w:jc w:val="center"/>
              <w:rPr>
                <w:sz w:val="17"/>
                <w:szCs w:val="17"/>
              </w:rPr>
            </w:pPr>
            <w:r w:rsidRPr="00CC6BE6">
              <w:rPr>
                <w:sz w:val="17"/>
                <w:szCs w:val="17"/>
              </w:rPr>
              <w:t>0.01</w:t>
            </w:r>
            <w:r w:rsidR="001D0D6C">
              <w:rPr>
                <w:sz w:val="17"/>
                <w:szCs w:val="17"/>
              </w:rPr>
              <w:t>1*</w:t>
            </w:r>
          </w:p>
        </w:tc>
        <w:tc>
          <w:tcPr>
            <w:tcW w:w="871" w:type="dxa"/>
            <w:vAlign w:val="center"/>
          </w:tcPr>
          <w:p w14:paraId="4D71B371" w14:textId="77A5C081" w:rsidR="0005707E" w:rsidRPr="00CC6BE6" w:rsidRDefault="004C352F" w:rsidP="000121A5">
            <w:pPr>
              <w:jc w:val="center"/>
              <w:rPr>
                <w:sz w:val="17"/>
                <w:szCs w:val="17"/>
              </w:rPr>
            </w:pPr>
            <w:r w:rsidRPr="00CC6BE6">
              <w:rPr>
                <w:sz w:val="17"/>
                <w:szCs w:val="17"/>
              </w:rPr>
              <w:t>0.1</w:t>
            </w:r>
            <w:r w:rsidR="00676B5F">
              <w:rPr>
                <w:sz w:val="17"/>
                <w:szCs w:val="17"/>
              </w:rPr>
              <w:t>48</w:t>
            </w:r>
            <w:r w:rsidRPr="00CC6BE6">
              <w:rPr>
                <w:sz w:val="17"/>
                <w:szCs w:val="17"/>
              </w:rPr>
              <w:t>*</w:t>
            </w:r>
          </w:p>
        </w:tc>
        <w:tc>
          <w:tcPr>
            <w:tcW w:w="871" w:type="dxa"/>
            <w:vAlign w:val="center"/>
          </w:tcPr>
          <w:p w14:paraId="1DFDD74F" w14:textId="56472D23" w:rsidR="0005707E" w:rsidRPr="00CC6BE6" w:rsidRDefault="007142C5" w:rsidP="000121A5">
            <w:pPr>
              <w:jc w:val="center"/>
              <w:rPr>
                <w:sz w:val="17"/>
                <w:szCs w:val="17"/>
              </w:rPr>
            </w:pPr>
            <w:r w:rsidRPr="00CC6BE6">
              <w:rPr>
                <w:sz w:val="17"/>
                <w:szCs w:val="17"/>
              </w:rPr>
              <w:t>0.1</w:t>
            </w:r>
            <w:r w:rsidR="00D95746">
              <w:rPr>
                <w:sz w:val="17"/>
                <w:szCs w:val="17"/>
              </w:rPr>
              <w:t>47</w:t>
            </w:r>
            <w:r w:rsidRPr="00CC6BE6">
              <w:rPr>
                <w:sz w:val="17"/>
                <w:szCs w:val="17"/>
              </w:rPr>
              <w:t>*</w:t>
            </w:r>
          </w:p>
        </w:tc>
        <w:tc>
          <w:tcPr>
            <w:tcW w:w="871" w:type="dxa"/>
            <w:vAlign w:val="center"/>
          </w:tcPr>
          <w:p w14:paraId="2E39C2B3" w14:textId="067E618E" w:rsidR="0005707E" w:rsidRPr="00CC6BE6" w:rsidRDefault="004D1EE0" w:rsidP="000121A5">
            <w:pPr>
              <w:jc w:val="center"/>
              <w:rPr>
                <w:sz w:val="17"/>
                <w:szCs w:val="17"/>
              </w:rPr>
            </w:pPr>
            <w:r w:rsidRPr="00CC6BE6">
              <w:rPr>
                <w:sz w:val="17"/>
                <w:szCs w:val="17"/>
              </w:rPr>
              <w:t>-0.1</w:t>
            </w:r>
            <w:r w:rsidR="00B5795C">
              <w:rPr>
                <w:sz w:val="17"/>
                <w:szCs w:val="17"/>
              </w:rPr>
              <w:t>37</w:t>
            </w:r>
            <w:r w:rsidRPr="00CC6BE6">
              <w:rPr>
                <w:sz w:val="17"/>
                <w:szCs w:val="17"/>
              </w:rPr>
              <w:t>*</w:t>
            </w:r>
          </w:p>
        </w:tc>
        <w:tc>
          <w:tcPr>
            <w:tcW w:w="870" w:type="dxa"/>
            <w:vAlign w:val="center"/>
          </w:tcPr>
          <w:p w14:paraId="78EF0E10" w14:textId="40B10050" w:rsidR="0005707E" w:rsidRPr="00CC6BE6" w:rsidRDefault="00B22A0D" w:rsidP="000121A5">
            <w:pPr>
              <w:jc w:val="center"/>
              <w:rPr>
                <w:sz w:val="17"/>
                <w:szCs w:val="17"/>
              </w:rPr>
            </w:pPr>
            <w:r w:rsidRPr="00CC6BE6">
              <w:rPr>
                <w:sz w:val="17"/>
                <w:szCs w:val="17"/>
              </w:rPr>
              <w:t>-0.02</w:t>
            </w:r>
            <w:r w:rsidR="004E5522">
              <w:rPr>
                <w:sz w:val="17"/>
                <w:szCs w:val="17"/>
              </w:rPr>
              <w:t>4*</w:t>
            </w:r>
          </w:p>
        </w:tc>
        <w:tc>
          <w:tcPr>
            <w:tcW w:w="871" w:type="dxa"/>
            <w:vAlign w:val="center"/>
          </w:tcPr>
          <w:p w14:paraId="05FB6F22" w14:textId="26A9C4F8" w:rsidR="0005707E" w:rsidRPr="00CC6BE6" w:rsidRDefault="00B22A0D" w:rsidP="000121A5">
            <w:pPr>
              <w:jc w:val="center"/>
              <w:rPr>
                <w:sz w:val="17"/>
                <w:szCs w:val="17"/>
              </w:rPr>
            </w:pPr>
            <w:r w:rsidRPr="00CC6BE6">
              <w:rPr>
                <w:sz w:val="17"/>
                <w:szCs w:val="17"/>
              </w:rPr>
              <w:t>0.02</w:t>
            </w:r>
            <w:r w:rsidR="003476E6">
              <w:rPr>
                <w:sz w:val="17"/>
                <w:szCs w:val="17"/>
              </w:rPr>
              <w:t>9*</w:t>
            </w:r>
          </w:p>
        </w:tc>
        <w:tc>
          <w:tcPr>
            <w:tcW w:w="871" w:type="dxa"/>
            <w:vAlign w:val="center"/>
          </w:tcPr>
          <w:p w14:paraId="19E30D72" w14:textId="3F58AD5F" w:rsidR="0005707E" w:rsidRPr="00CC6BE6" w:rsidRDefault="007239CE" w:rsidP="000121A5">
            <w:pPr>
              <w:jc w:val="center"/>
              <w:rPr>
                <w:sz w:val="17"/>
                <w:szCs w:val="17"/>
              </w:rPr>
            </w:pPr>
            <w:r w:rsidRPr="00CC6BE6">
              <w:rPr>
                <w:sz w:val="17"/>
                <w:szCs w:val="17"/>
              </w:rPr>
              <w:t>-0.08</w:t>
            </w:r>
            <w:r w:rsidR="00A213CC">
              <w:rPr>
                <w:sz w:val="17"/>
                <w:szCs w:val="17"/>
              </w:rPr>
              <w:t>5*</w:t>
            </w:r>
          </w:p>
        </w:tc>
        <w:tc>
          <w:tcPr>
            <w:tcW w:w="871" w:type="dxa"/>
            <w:vAlign w:val="center"/>
          </w:tcPr>
          <w:p w14:paraId="36879AB1" w14:textId="7AFA5C09" w:rsidR="0005707E" w:rsidRPr="00CC6BE6" w:rsidRDefault="00D33C72" w:rsidP="000121A5">
            <w:pPr>
              <w:jc w:val="center"/>
              <w:rPr>
                <w:sz w:val="17"/>
                <w:szCs w:val="17"/>
              </w:rPr>
            </w:pPr>
            <w:r w:rsidRPr="00CC6BE6">
              <w:rPr>
                <w:sz w:val="17"/>
                <w:szCs w:val="17"/>
              </w:rPr>
              <w:t>0.0</w:t>
            </w:r>
            <w:r w:rsidR="004C2070">
              <w:rPr>
                <w:sz w:val="17"/>
                <w:szCs w:val="17"/>
              </w:rPr>
              <w:t>67</w:t>
            </w:r>
            <w:r w:rsidRPr="00CC6BE6">
              <w:rPr>
                <w:sz w:val="17"/>
                <w:szCs w:val="17"/>
              </w:rPr>
              <w:t>*</w:t>
            </w:r>
          </w:p>
        </w:tc>
        <w:tc>
          <w:tcPr>
            <w:tcW w:w="871" w:type="dxa"/>
            <w:vAlign w:val="center"/>
          </w:tcPr>
          <w:p w14:paraId="0B464EB2" w14:textId="307AF30C" w:rsidR="0005707E" w:rsidRPr="00CC6BE6" w:rsidRDefault="00D33C72" w:rsidP="000121A5">
            <w:pPr>
              <w:jc w:val="center"/>
              <w:rPr>
                <w:sz w:val="17"/>
                <w:szCs w:val="17"/>
              </w:rPr>
            </w:pPr>
            <w:r w:rsidRPr="00CC6BE6">
              <w:rPr>
                <w:sz w:val="17"/>
                <w:szCs w:val="17"/>
              </w:rPr>
              <w:t>0.0</w:t>
            </w:r>
            <w:r w:rsidR="009150F4">
              <w:rPr>
                <w:sz w:val="17"/>
                <w:szCs w:val="17"/>
              </w:rPr>
              <w:t>61*</w:t>
            </w:r>
          </w:p>
        </w:tc>
        <w:tc>
          <w:tcPr>
            <w:tcW w:w="870" w:type="dxa"/>
            <w:vAlign w:val="center"/>
          </w:tcPr>
          <w:p w14:paraId="2345C6B3" w14:textId="44FAFAA1" w:rsidR="0005707E" w:rsidRPr="00CC6BE6" w:rsidRDefault="00E30BCF" w:rsidP="000121A5">
            <w:pPr>
              <w:jc w:val="center"/>
              <w:rPr>
                <w:sz w:val="17"/>
                <w:szCs w:val="17"/>
              </w:rPr>
            </w:pPr>
            <w:r w:rsidRPr="00CC6BE6">
              <w:rPr>
                <w:sz w:val="17"/>
                <w:szCs w:val="17"/>
              </w:rPr>
              <w:t>0.0</w:t>
            </w:r>
            <w:r w:rsidR="00A65636">
              <w:rPr>
                <w:sz w:val="17"/>
                <w:szCs w:val="17"/>
              </w:rPr>
              <w:t>27</w:t>
            </w:r>
            <w:r w:rsidRPr="00CC6BE6">
              <w:rPr>
                <w:sz w:val="17"/>
                <w:szCs w:val="17"/>
              </w:rPr>
              <w:t>*</w:t>
            </w:r>
          </w:p>
        </w:tc>
        <w:tc>
          <w:tcPr>
            <w:tcW w:w="871" w:type="dxa"/>
            <w:vAlign w:val="center"/>
          </w:tcPr>
          <w:p w14:paraId="46E4982B" w14:textId="3684191B" w:rsidR="0005707E" w:rsidRPr="00CC6BE6" w:rsidRDefault="00E30BCF" w:rsidP="000121A5">
            <w:pPr>
              <w:jc w:val="center"/>
              <w:rPr>
                <w:sz w:val="17"/>
                <w:szCs w:val="17"/>
              </w:rPr>
            </w:pPr>
            <w:r w:rsidRPr="00CC6BE6">
              <w:rPr>
                <w:sz w:val="17"/>
                <w:szCs w:val="17"/>
              </w:rPr>
              <w:t>-0.0</w:t>
            </w:r>
            <w:r w:rsidR="00486263">
              <w:rPr>
                <w:sz w:val="17"/>
                <w:szCs w:val="17"/>
              </w:rPr>
              <w:t>11</w:t>
            </w:r>
          </w:p>
        </w:tc>
        <w:tc>
          <w:tcPr>
            <w:tcW w:w="871" w:type="dxa"/>
            <w:vAlign w:val="center"/>
          </w:tcPr>
          <w:p w14:paraId="4AAE8CFA" w14:textId="1AE28332" w:rsidR="0005707E" w:rsidRPr="00CC6BE6" w:rsidRDefault="00511E42" w:rsidP="000121A5">
            <w:pPr>
              <w:jc w:val="center"/>
              <w:rPr>
                <w:sz w:val="17"/>
                <w:szCs w:val="17"/>
              </w:rPr>
            </w:pPr>
            <w:r w:rsidRPr="00CC6BE6">
              <w:rPr>
                <w:sz w:val="17"/>
                <w:szCs w:val="17"/>
              </w:rPr>
              <w:t>0.065*</w:t>
            </w:r>
          </w:p>
        </w:tc>
        <w:tc>
          <w:tcPr>
            <w:tcW w:w="871" w:type="dxa"/>
            <w:vAlign w:val="center"/>
          </w:tcPr>
          <w:p w14:paraId="2563271E" w14:textId="3F462802" w:rsidR="0005707E" w:rsidRPr="00CC6BE6" w:rsidRDefault="00511E42" w:rsidP="000121A5">
            <w:pPr>
              <w:jc w:val="center"/>
              <w:rPr>
                <w:sz w:val="17"/>
                <w:szCs w:val="17"/>
              </w:rPr>
            </w:pPr>
            <w:r w:rsidRPr="00CC6BE6">
              <w:rPr>
                <w:sz w:val="17"/>
                <w:szCs w:val="17"/>
              </w:rPr>
              <w:t>0.0</w:t>
            </w:r>
            <w:r w:rsidR="001B4512">
              <w:rPr>
                <w:sz w:val="17"/>
                <w:szCs w:val="17"/>
              </w:rPr>
              <w:t>006</w:t>
            </w:r>
          </w:p>
        </w:tc>
        <w:tc>
          <w:tcPr>
            <w:tcW w:w="871" w:type="dxa"/>
            <w:vAlign w:val="center"/>
          </w:tcPr>
          <w:p w14:paraId="67E06AA2" w14:textId="306DAF9F" w:rsidR="0005707E" w:rsidRPr="00CC6BE6" w:rsidRDefault="001B4512" w:rsidP="000121A5">
            <w:pPr>
              <w:jc w:val="center"/>
              <w:rPr>
                <w:sz w:val="17"/>
                <w:szCs w:val="17"/>
              </w:rPr>
            </w:pPr>
            <w:r>
              <w:rPr>
                <w:sz w:val="17"/>
                <w:szCs w:val="17"/>
              </w:rPr>
              <w:t>-</w:t>
            </w:r>
            <w:r w:rsidR="00140674" w:rsidRPr="00CC6BE6">
              <w:rPr>
                <w:sz w:val="17"/>
                <w:szCs w:val="17"/>
              </w:rPr>
              <w:t>0.09</w:t>
            </w:r>
            <w:r w:rsidR="00082490">
              <w:rPr>
                <w:sz w:val="17"/>
                <w:szCs w:val="17"/>
              </w:rPr>
              <w:t>5</w:t>
            </w:r>
            <w:r w:rsidR="00140674" w:rsidRPr="00CC6BE6">
              <w:rPr>
                <w:sz w:val="17"/>
                <w:szCs w:val="17"/>
              </w:rPr>
              <w:t>*</w:t>
            </w:r>
          </w:p>
        </w:tc>
        <w:tc>
          <w:tcPr>
            <w:tcW w:w="850" w:type="dxa"/>
            <w:vAlign w:val="center"/>
          </w:tcPr>
          <w:p w14:paraId="2767C6A8" w14:textId="77BA5133" w:rsidR="0005707E" w:rsidRPr="00CC6BE6" w:rsidRDefault="00140674" w:rsidP="000121A5">
            <w:pPr>
              <w:jc w:val="center"/>
              <w:rPr>
                <w:sz w:val="17"/>
                <w:szCs w:val="17"/>
              </w:rPr>
            </w:pPr>
            <w:r w:rsidRPr="00CC6BE6">
              <w:rPr>
                <w:sz w:val="17"/>
                <w:szCs w:val="17"/>
              </w:rPr>
              <w:t>-0.1</w:t>
            </w:r>
            <w:r w:rsidR="00082490">
              <w:rPr>
                <w:sz w:val="17"/>
                <w:szCs w:val="17"/>
              </w:rPr>
              <w:t>0</w:t>
            </w:r>
            <w:r w:rsidRPr="00CC6BE6">
              <w:rPr>
                <w:sz w:val="17"/>
                <w:szCs w:val="17"/>
              </w:rPr>
              <w:t>7*</w:t>
            </w:r>
          </w:p>
        </w:tc>
        <w:tc>
          <w:tcPr>
            <w:tcW w:w="709" w:type="dxa"/>
            <w:vAlign w:val="center"/>
          </w:tcPr>
          <w:p w14:paraId="533CF3E5" w14:textId="31FD3499" w:rsidR="0005707E" w:rsidRPr="00CC6BE6" w:rsidRDefault="0005707E" w:rsidP="000121A5">
            <w:pPr>
              <w:jc w:val="center"/>
              <w:rPr>
                <w:sz w:val="17"/>
                <w:szCs w:val="17"/>
              </w:rPr>
            </w:pPr>
            <w:r w:rsidRPr="00CC6BE6">
              <w:rPr>
                <w:sz w:val="17"/>
                <w:szCs w:val="17"/>
              </w:rPr>
              <w:t>1</w:t>
            </w:r>
          </w:p>
        </w:tc>
      </w:tr>
      <w:tr w:rsidR="00F771F4" w:rsidRPr="00380DA5" w14:paraId="1857C2BD" w14:textId="77777777" w:rsidTr="000C34D0">
        <w:tc>
          <w:tcPr>
            <w:tcW w:w="1276" w:type="dxa"/>
            <w:tcBorders>
              <w:bottom w:val="single" w:sz="4" w:space="0" w:color="auto"/>
              <w:right w:val="single" w:sz="4" w:space="0" w:color="auto"/>
            </w:tcBorders>
            <w:vAlign w:val="center"/>
          </w:tcPr>
          <w:p w14:paraId="0CB22952" w14:textId="0EE8C1DA" w:rsidR="00F771F4" w:rsidRPr="00B01254" w:rsidRDefault="00F771F4" w:rsidP="000121A5">
            <w:pPr>
              <w:rPr>
                <w:sz w:val="13"/>
                <w:szCs w:val="13"/>
              </w:rPr>
            </w:pPr>
            <w:r>
              <w:rPr>
                <w:sz w:val="13"/>
                <w:szCs w:val="13"/>
              </w:rPr>
              <w:t>Year: 2021</w:t>
            </w:r>
          </w:p>
        </w:tc>
        <w:tc>
          <w:tcPr>
            <w:tcW w:w="870" w:type="dxa"/>
            <w:tcBorders>
              <w:left w:val="single" w:sz="4" w:space="0" w:color="auto"/>
            </w:tcBorders>
            <w:vAlign w:val="center"/>
          </w:tcPr>
          <w:p w14:paraId="29E7E15E" w14:textId="4AFD77B0" w:rsidR="00F771F4" w:rsidRPr="00CC6BE6" w:rsidRDefault="00F771F4" w:rsidP="000121A5">
            <w:pPr>
              <w:jc w:val="center"/>
              <w:rPr>
                <w:sz w:val="17"/>
                <w:szCs w:val="17"/>
              </w:rPr>
            </w:pPr>
            <w:r>
              <w:rPr>
                <w:sz w:val="17"/>
                <w:szCs w:val="17"/>
              </w:rPr>
              <w:t>0.047*</w:t>
            </w:r>
          </w:p>
        </w:tc>
        <w:tc>
          <w:tcPr>
            <w:tcW w:w="871" w:type="dxa"/>
            <w:vAlign w:val="center"/>
          </w:tcPr>
          <w:p w14:paraId="3FBD9DED" w14:textId="36D3C994" w:rsidR="00F771F4" w:rsidRPr="00CC6BE6" w:rsidRDefault="00676B5F" w:rsidP="000121A5">
            <w:pPr>
              <w:jc w:val="center"/>
              <w:rPr>
                <w:sz w:val="17"/>
                <w:szCs w:val="17"/>
              </w:rPr>
            </w:pPr>
            <w:r>
              <w:rPr>
                <w:sz w:val="17"/>
                <w:szCs w:val="17"/>
              </w:rPr>
              <w:t>0.086*</w:t>
            </w:r>
          </w:p>
        </w:tc>
        <w:tc>
          <w:tcPr>
            <w:tcW w:w="871" w:type="dxa"/>
            <w:vAlign w:val="center"/>
          </w:tcPr>
          <w:p w14:paraId="68607193" w14:textId="79ED5CE7" w:rsidR="00F771F4" w:rsidRPr="00CC6BE6" w:rsidRDefault="00D95746" w:rsidP="000121A5">
            <w:pPr>
              <w:jc w:val="center"/>
              <w:rPr>
                <w:sz w:val="17"/>
                <w:szCs w:val="17"/>
              </w:rPr>
            </w:pPr>
            <w:r>
              <w:rPr>
                <w:sz w:val="17"/>
                <w:szCs w:val="17"/>
              </w:rPr>
              <w:t>0.037*</w:t>
            </w:r>
          </w:p>
        </w:tc>
        <w:tc>
          <w:tcPr>
            <w:tcW w:w="871" w:type="dxa"/>
            <w:vAlign w:val="center"/>
          </w:tcPr>
          <w:p w14:paraId="56F2047E" w14:textId="5081C455" w:rsidR="00F771F4" w:rsidRPr="00CC6BE6" w:rsidRDefault="00B5795C" w:rsidP="000121A5">
            <w:pPr>
              <w:jc w:val="center"/>
              <w:rPr>
                <w:sz w:val="17"/>
                <w:szCs w:val="17"/>
              </w:rPr>
            </w:pPr>
            <w:r>
              <w:rPr>
                <w:sz w:val="17"/>
                <w:szCs w:val="17"/>
              </w:rPr>
              <w:t>-0.143</w:t>
            </w:r>
            <w:r w:rsidR="006E7092">
              <w:rPr>
                <w:sz w:val="17"/>
                <w:szCs w:val="17"/>
              </w:rPr>
              <w:t>*</w:t>
            </w:r>
          </w:p>
        </w:tc>
        <w:tc>
          <w:tcPr>
            <w:tcW w:w="870" w:type="dxa"/>
            <w:vAlign w:val="center"/>
          </w:tcPr>
          <w:p w14:paraId="1DA34BCA" w14:textId="628916E9" w:rsidR="00F771F4" w:rsidRPr="00CC6BE6" w:rsidRDefault="004E5522" w:rsidP="000121A5">
            <w:pPr>
              <w:jc w:val="center"/>
              <w:rPr>
                <w:sz w:val="17"/>
                <w:szCs w:val="17"/>
              </w:rPr>
            </w:pPr>
            <w:r>
              <w:rPr>
                <w:sz w:val="17"/>
                <w:szCs w:val="17"/>
              </w:rPr>
              <w:t>-0.0004</w:t>
            </w:r>
          </w:p>
        </w:tc>
        <w:tc>
          <w:tcPr>
            <w:tcW w:w="871" w:type="dxa"/>
            <w:vAlign w:val="center"/>
          </w:tcPr>
          <w:p w14:paraId="1C9F3B15" w14:textId="2AE66511" w:rsidR="00F771F4" w:rsidRPr="00CC6BE6" w:rsidRDefault="003476E6" w:rsidP="000121A5">
            <w:pPr>
              <w:jc w:val="center"/>
              <w:rPr>
                <w:sz w:val="17"/>
                <w:szCs w:val="17"/>
              </w:rPr>
            </w:pPr>
            <w:r>
              <w:rPr>
                <w:sz w:val="17"/>
                <w:szCs w:val="17"/>
              </w:rPr>
              <w:t>-0.022*</w:t>
            </w:r>
          </w:p>
        </w:tc>
        <w:tc>
          <w:tcPr>
            <w:tcW w:w="871" w:type="dxa"/>
            <w:vAlign w:val="center"/>
          </w:tcPr>
          <w:p w14:paraId="23AA5F09" w14:textId="0E92E012" w:rsidR="00F771F4" w:rsidRPr="00CC6BE6" w:rsidRDefault="00A213CC" w:rsidP="000121A5">
            <w:pPr>
              <w:jc w:val="center"/>
              <w:rPr>
                <w:sz w:val="17"/>
                <w:szCs w:val="17"/>
              </w:rPr>
            </w:pPr>
            <w:r>
              <w:rPr>
                <w:sz w:val="17"/>
                <w:szCs w:val="17"/>
              </w:rPr>
              <w:t>0.054*</w:t>
            </w:r>
          </w:p>
        </w:tc>
        <w:tc>
          <w:tcPr>
            <w:tcW w:w="871" w:type="dxa"/>
            <w:vAlign w:val="center"/>
          </w:tcPr>
          <w:p w14:paraId="5A0C9DE8" w14:textId="6C4A367E" w:rsidR="00F771F4" w:rsidRPr="00CC6BE6" w:rsidRDefault="004C2070" w:rsidP="000121A5">
            <w:pPr>
              <w:jc w:val="center"/>
              <w:rPr>
                <w:sz w:val="17"/>
                <w:szCs w:val="17"/>
              </w:rPr>
            </w:pPr>
            <w:r>
              <w:rPr>
                <w:sz w:val="17"/>
                <w:szCs w:val="17"/>
              </w:rPr>
              <w:t>-0.092*</w:t>
            </w:r>
          </w:p>
        </w:tc>
        <w:tc>
          <w:tcPr>
            <w:tcW w:w="871" w:type="dxa"/>
            <w:vAlign w:val="center"/>
          </w:tcPr>
          <w:p w14:paraId="3112AB9E" w14:textId="01592328" w:rsidR="00F771F4" w:rsidRPr="00CC6BE6" w:rsidRDefault="009150F4" w:rsidP="000121A5">
            <w:pPr>
              <w:jc w:val="center"/>
              <w:rPr>
                <w:sz w:val="17"/>
                <w:szCs w:val="17"/>
              </w:rPr>
            </w:pPr>
            <w:r>
              <w:rPr>
                <w:sz w:val="17"/>
                <w:szCs w:val="17"/>
              </w:rPr>
              <w:t>-0.085*</w:t>
            </w:r>
          </w:p>
        </w:tc>
        <w:tc>
          <w:tcPr>
            <w:tcW w:w="870" w:type="dxa"/>
            <w:vAlign w:val="center"/>
          </w:tcPr>
          <w:p w14:paraId="344E9A2D" w14:textId="4374115F" w:rsidR="00F771F4" w:rsidRPr="00CC6BE6" w:rsidRDefault="00A65636" w:rsidP="000121A5">
            <w:pPr>
              <w:jc w:val="center"/>
              <w:rPr>
                <w:sz w:val="17"/>
                <w:szCs w:val="17"/>
              </w:rPr>
            </w:pPr>
            <w:r>
              <w:rPr>
                <w:sz w:val="17"/>
                <w:szCs w:val="17"/>
              </w:rPr>
              <w:t>-0.068*</w:t>
            </w:r>
          </w:p>
        </w:tc>
        <w:tc>
          <w:tcPr>
            <w:tcW w:w="871" w:type="dxa"/>
            <w:vAlign w:val="center"/>
          </w:tcPr>
          <w:p w14:paraId="467D78A7" w14:textId="44529DCE" w:rsidR="00F771F4" w:rsidRPr="00CC6BE6" w:rsidRDefault="00486263" w:rsidP="000121A5">
            <w:pPr>
              <w:jc w:val="center"/>
              <w:rPr>
                <w:sz w:val="17"/>
                <w:szCs w:val="17"/>
              </w:rPr>
            </w:pPr>
            <w:r>
              <w:rPr>
                <w:sz w:val="17"/>
                <w:szCs w:val="17"/>
              </w:rPr>
              <w:t>0.006</w:t>
            </w:r>
          </w:p>
        </w:tc>
        <w:tc>
          <w:tcPr>
            <w:tcW w:w="871" w:type="dxa"/>
            <w:vAlign w:val="center"/>
          </w:tcPr>
          <w:p w14:paraId="568A835F" w14:textId="512416CB" w:rsidR="00F771F4" w:rsidRPr="00CC6BE6" w:rsidRDefault="00A83FD8" w:rsidP="000121A5">
            <w:pPr>
              <w:jc w:val="center"/>
              <w:rPr>
                <w:sz w:val="17"/>
                <w:szCs w:val="17"/>
              </w:rPr>
            </w:pPr>
            <w:r>
              <w:rPr>
                <w:sz w:val="17"/>
                <w:szCs w:val="17"/>
              </w:rPr>
              <w:t>0.108*</w:t>
            </w:r>
          </w:p>
        </w:tc>
        <w:tc>
          <w:tcPr>
            <w:tcW w:w="871" w:type="dxa"/>
            <w:vAlign w:val="center"/>
          </w:tcPr>
          <w:p w14:paraId="1ADEB226" w14:textId="5D1D316B" w:rsidR="00F771F4" w:rsidRPr="00CC6BE6" w:rsidRDefault="001B4512" w:rsidP="000121A5">
            <w:pPr>
              <w:jc w:val="center"/>
              <w:rPr>
                <w:sz w:val="17"/>
                <w:szCs w:val="17"/>
              </w:rPr>
            </w:pPr>
            <w:r>
              <w:rPr>
                <w:sz w:val="17"/>
                <w:szCs w:val="17"/>
              </w:rPr>
              <w:t>0.001</w:t>
            </w:r>
          </w:p>
        </w:tc>
        <w:tc>
          <w:tcPr>
            <w:tcW w:w="871" w:type="dxa"/>
            <w:vAlign w:val="center"/>
          </w:tcPr>
          <w:p w14:paraId="6C651F17" w14:textId="752E81F6" w:rsidR="00F771F4" w:rsidRPr="00CC6BE6" w:rsidRDefault="00082490" w:rsidP="000121A5">
            <w:pPr>
              <w:jc w:val="center"/>
              <w:rPr>
                <w:sz w:val="17"/>
                <w:szCs w:val="17"/>
              </w:rPr>
            </w:pPr>
            <w:r>
              <w:rPr>
                <w:sz w:val="17"/>
                <w:szCs w:val="17"/>
              </w:rPr>
              <w:t>-0.055*</w:t>
            </w:r>
          </w:p>
        </w:tc>
        <w:tc>
          <w:tcPr>
            <w:tcW w:w="850" w:type="dxa"/>
            <w:vAlign w:val="center"/>
          </w:tcPr>
          <w:p w14:paraId="7E669389" w14:textId="3007F0CC" w:rsidR="00F771F4" w:rsidRPr="00CC6BE6" w:rsidRDefault="00082490" w:rsidP="000121A5">
            <w:pPr>
              <w:jc w:val="center"/>
              <w:rPr>
                <w:sz w:val="17"/>
                <w:szCs w:val="17"/>
              </w:rPr>
            </w:pPr>
            <w:r>
              <w:rPr>
                <w:sz w:val="17"/>
                <w:szCs w:val="17"/>
              </w:rPr>
              <w:t>-0.208*</w:t>
            </w:r>
          </w:p>
        </w:tc>
        <w:tc>
          <w:tcPr>
            <w:tcW w:w="709" w:type="dxa"/>
            <w:vAlign w:val="center"/>
          </w:tcPr>
          <w:p w14:paraId="4036FB69" w14:textId="54566C6A" w:rsidR="00F771F4" w:rsidRPr="00CC6BE6" w:rsidRDefault="00082490" w:rsidP="000121A5">
            <w:pPr>
              <w:jc w:val="center"/>
              <w:rPr>
                <w:sz w:val="17"/>
                <w:szCs w:val="17"/>
              </w:rPr>
            </w:pPr>
            <w:r>
              <w:rPr>
                <w:sz w:val="17"/>
                <w:szCs w:val="17"/>
              </w:rPr>
              <w:t>0.050*</w:t>
            </w:r>
          </w:p>
        </w:tc>
      </w:tr>
    </w:tbl>
    <w:p w14:paraId="0297E36C" w14:textId="77777777" w:rsidR="00206F64" w:rsidRDefault="00206F64"/>
    <w:p w14:paraId="65CB869D" w14:textId="77777777" w:rsidR="00660132" w:rsidRDefault="00660132">
      <w:pPr>
        <w:sectPr w:rsidR="00660132" w:rsidSect="0097622A">
          <w:pgSz w:w="16838" w:h="11906" w:orient="landscape"/>
          <w:pgMar w:top="1440" w:right="1440" w:bottom="1440" w:left="1440" w:header="708" w:footer="708" w:gutter="0"/>
          <w:cols w:space="708"/>
          <w:docGrid w:linePitch="360"/>
        </w:sectPr>
      </w:pPr>
    </w:p>
    <w:p w14:paraId="77094A6D" w14:textId="33D2068A" w:rsidR="004C45CD" w:rsidRPr="00137259" w:rsidRDefault="004C45CD" w:rsidP="004C45CD">
      <w:pPr>
        <w:spacing w:line="360" w:lineRule="auto"/>
        <w:rPr>
          <w:b/>
          <w:bCs/>
        </w:rPr>
      </w:pPr>
      <w:r>
        <w:rPr>
          <w:b/>
          <w:bCs/>
        </w:rPr>
        <w:t xml:space="preserve">Table </w:t>
      </w:r>
      <w:r w:rsidR="000E2F76">
        <w:rPr>
          <w:b/>
          <w:bCs/>
        </w:rPr>
        <w:t>A-</w:t>
      </w:r>
      <w:r>
        <w:rPr>
          <w:b/>
          <w:bCs/>
        </w:rPr>
        <w:t>2: Estimation results on loneliness, 2021</w:t>
      </w:r>
    </w:p>
    <w:tbl>
      <w:tblPr>
        <w:tblStyle w:val="TableGrid"/>
        <w:tblW w:w="1058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3"/>
        <w:gridCol w:w="1773"/>
        <w:gridCol w:w="1984"/>
        <w:gridCol w:w="1560"/>
        <w:gridCol w:w="1557"/>
        <w:gridCol w:w="239"/>
        <w:gridCol w:w="1560"/>
      </w:tblGrid>
      <w:tr w:rsidR="004C45CD" w:rsidRPr="00915CC9" w14:paraId="5F2AE82A" w14:textId="77777777" w:rsidTr="00F449BB">
        <w:trPr>
          <w:gridAfter w:val="1"/>
          <w:wAfter w:w="1560" w:type="dxa"/>
        </w:trPr>
        <w:tc>
          <w:tcPr>
            <w:tcW w:w="1913" w:type="dxa"/>
            <w:tcBorders>
              <w:top w:val="single" w:sz="4" w:space="0" w:color="auto"/>
              <w:bottom w:val="single" w:sz="4" w:space="0" w:color="auto"/>
            </w:tcBorders>
          </w:tcPr>
          <w:p w14:paraId="3A792106" w14:textId="77777777" w:rsidR="004C45CD" w:rsidRPr="00915CC9" w:rsidRDefault="004C45CD" w:rsidP="00F449BB">
            <w:pPr>
              <w:rPr>
                <w:b/>
                <w:bCs/>
                <w:sz w:val="20"/>
                <w:szCs w:val="20"/>
              </w:rPr>
            </w:pPr>
          </w:p>
        </w:tc>
        <w:tc>
          <w:tcPr>
            <w:tcW w:w="3757" w:type="dxa"/>
            <w:gridSpan w:val="2"/>
            <w:tcBorders>
              <w:top w:val="single" w:sz="4" w:space="0" w:color="auto"/>
              <w:bottom w:val="single" w:sz="4" w:space="0" w:color="auto"/>
              <w:right w:val="single" w:sz="4" w:space="0" w:color="auto"/>
            </w:tcBorders>
            <w:vAlign w:val="center"/>
          </w:tcPr>
          <w:p w14:paraId="53F4AC89" w14:textId="77777777" w:rsidR="004C45CD" w:rsidRPr="00146C98" w:rsidRDefault="004C45CD" w:rsidP="00F449BB">
            <w:pPr>
              <w:jc w:val="center"/>
              <w:rPr>
                <w:sz w:val="20"/>
                <w:szCs w:val="20"/>
              </w:rPr>
            </w:pPr>
            <w:r w:rsidRPr="00146C98">
              <w:rPr>
                <w:sz w:val="20"/>
                <w:szCs w:val="20"/>
              </w:rPr>
              <w:t>Often/always lonely</w:t>
            </w:r>
          </w:p>
        </w:tc>
        <w:tc>
          <w:tcPr>
            <w:tcW w:w="3117" w:type="dxa"/>
            <w:gridSpan w:val="2"/>
            <w:tcBorders>
              <w:top w:val="single" w:sz="4" w:space="0" w:color="auto"/>
              <w:left w:val="single" w:sz="4" w:space="0" w:color="auto"/>
              <w:bottom w:val="single" w:sz="4" w:space="0" w:color="auto"/>
            </w:tcBorders>
            <w:vAlign w:val="center"/>
          </w:tcPr>
          <w:p w14:paraId="6C8BD6F0" w14:textId="77777777" w:rsidR="004C45CD" w:rsidRPr="00146C98" w:rsidRDefault="004C45CD" w:rsidP="00F449BB">
            <w:pPr>
              <w:jc w:val="center"/>
              <w:rPr>
                <w:sz w:val="20"/>
                <w:szCs w:val="20"/>
              </w:rPr>
            </w:pPr>
            <w:r w:rsidRPr="00146C98">
              <w:rPr>
                <w:sz w:val="20"/>
                <w:szCs w:val="20"/>
              </w:rPr>
              <w:t>Sometimes/often/always lonely</w:t>
            </w:r>
          </w:p>
        </w:tc>
        <w:tc>
          <w:tcPr>
            <w:tcW w:w="239" w:type="dxa"/>
            <w:tcBorders>
              <w:top w:val="single" w:sz="4" w:space="0" w:color="auto"/>
              <w:bottom w:val="single" w:sz="4" w:space="0" w:color="auto"/>
            </w:tcBorders>
          </w:tcPr>
          <w:p w14:paraId="4BC1A6DA" w14:textId="77777777" w:rsidR="004C45CD" w:rsidRDefault="004C45CD" w:rsidP="00F449BB">
            <w:pPr>
              <w:jc w:val="center"/>
              <w:rPr>
                <w:b/>
                <w:bCs/>
                <w:sz w:val="20"/>
                <w:szCs w:val="20"/>
              </w:rPr>
            </w:pPr>
          </w:p>
        </w:tc>
      </w:tr>
      <w:tr w:rsidR="004C45CD" w:rsidRPr="00636169" w14:paraId="0457C077" w14:textId="77777777" w:rsidTr="00F449BB">
        <w:trPr>
          <w:gridAfter w:val="1"/>
          <w:wAfter w:w="1560" w:type="dxa"/>
        </w:trPr>
        <w:tc>
          <w:tcPr>
            <w:tcW w:w="1913" w:type="dxa"/>
            <w:tcBorders>
              <w:top w:val="single" w:sz="4" w:space="0" w:color="auto"/>
              <w:bottom w:val="single" w:sz="4" w:space="0" w:color="auto"/>
            </w:tcBorders>
          </w:tcPr>
          <w:p w14:paraId="0C196D7A" w14:textId="77777777" w:rsidR="004C45CD" w:rsidRPr="00915CC9" w:rsidRDefault="004C45CD" w:rsidP="00F449BB">
            <w:pPr>
              <w:rPr>
                <w:b/>
                <w:bCs/>
                <w:sz w:val="20"/>
                <w:szCs w:val="20"/>
              </w:rPr>
            </w:pPr>
          </w:p>
        </w:tc>
        <w:tc>
          <w:tcPr>
            <w:tcW w:w="1773" w:type="dxa"/>
            <w:tcBorders>
              <w:top w:val="single" w:sz="4" w:space="0" w:color="auto"/>
              <w:bottom w:val="single" w:sz="4" w:space="0" w:color="auto"/>
            </w:tcBorders>
            <w:vAlign w:val="center"/>
          </w:tcPr>
          <w:p w14:paraId="4689891B" w14:textId="77777777" w:rsidR="004C45CD" w:rsidRPr="000E2F76" w:rsidRDefault="004C45CD" w:rsidP="00F449BB">
            <w:pPr>
              <w:jc w:val="center"/>
              <w:rPr>
                <w:sz w:val="16"/>
                <w:szCs w:val="16"/>
              </w:rPr>
            </w:pPr>
            <w:r w:rsidRPr="000E2F76">
              <w:rPr>
                <w:sz w:val="16"/>
                <w:szCs w:val="16"/>
              </w:rPr>
              <w:t>(1)</w:t>
            </w:r>
          </w:p>
        </w:tc>
        <w:tc>
          <w:tcPr>
            <w:tcW w:w="1984" w:type="dxa"/>
            <w:tcBorders>
              <w:top w:val="single" w:sz="4" w:space="0" w:color="auto"/>
              <w:bottom w:val="single" w:sz="4" w:space="0" w:color="auto"/>
              <w:right w:val="single" w:sz="4" w:space="0" w:color="auto"/>
            </w:tcBorders>
            <w:vAlign w:val="center"/>
          </w:tcPr>
          <w:p w14:paraId="255DBBF5" w14:textId="77777777" w:rsidR="004C45CD" w:rsidRPr="000E2F76" w:rsidRDefault="004C45CD" w:rsidP="00F449BB">
            <w:pPr>
              <w:jc w:val="center"/>
              <w:rPr>
                <w:sz w:val="16"/>
                <w:szCs w:val="16"/>
              </w:rPr>
            </w:pPr>
            <w:r w:rsidRPr="000E2F76">
              <w:rPr>
                <w:sz w:val="16"/>
                <w:szCs w:val="16"/>
              </w:rPr>
              <w:t>(2)</w:t>
            </w:r>
          </w:p>
        </w:tc>
        <w:tc>
          <w:tcPr>
            <w:tcW w:w="1560" w:type="dxa"/>
            <w:tcBorders>
              <w:top w:val="single" w:sz="4" w:space="0" w:color="auto"/>
              <w:left w:val="single" w:sz="4" w:space="0" w:color="auto"/>
              <w:bottom w:val="single" w:sz="4" w:space="0" w:color="auto"/>
            </w:tcBorders>
            <w:vAlign w:val="center"/>
          </w:tcPr>
          <w:p w14:paraId="1800761B" w14:textId="77777777" w:rsidR="004C45CD" w:rsidRPr="000E2F76" w:rsidRDefault="004C45CD" w:rsidP="00F449BB">
            <w:pPr>
              <w:jc w:val="center"/>
              <w:rPr>
                <w:sz w:val="16"/>
                <w:szCs w:val="16"/>
              </w:rPr>
            </w:pPr>
            <w:r w:rsidRPr="000E2F76">
              <w:rPr>
                <w:sz w:val="16"/>
                <w:szCs w:val="16"/>
              </w:rPr>
              <w:t>(1)</w:t>
            </w:r>
          </w:p>
        </w:tc>
        <w:tc>
          <w:tcPr>
            <w:tcW w:w="1557" w:type="dxa"/>
            <w:tcBorders>
              <w:top w:val="single" w:sz="4" w:space="0" w:color="auto"/>
              <w:bottom w:val="single" w:sz="4" w:space="0" w:color="auto"/>
            </w:tcBorders>
            <w:vAlign w:val="center"/>
          </w:tcPr>
          <w:p w14:paraId="64BFA3F3" w14:textId="77777777" w:rsidR="004C45CD" w:rsidRPr="000E2F76" w:rsidRDefault="004C45CD" w:rsidP="00F449BB">
            <w:pPr>
              <w:jc w:val="center"/>
              <w:rPr>
                <w:sz w:val="16"/>
                <w:szCs w:val="16"/>
              </w:rPr>
            </w:pPr>
            <w:r w:rsidRPr="000E2F76">
              <w:rPr>
                <w:sz w:val="16"/>
                <w:szCs w:val="16"/>
              </w:rPr>
              <w:t>(2)</w:t>
            </w:r>
          </w:p>
        </w:tc>
        <w:tc>
          <w:tcPr>
            <w:tcW w:w="239" w:type="dxa"/>
            <w:tcBorders>
              <w:top w:val="single" w:sz="4" w:space="0" w:color="auto"/>
              <w:bottom w:val="single" w:sz="4" w:space="0" w:color="auto"/>
            </w:tcBorders>
            <w:vAlign w:val="center"/>
          </w:tcPr>
          <w:p w14:paraId="27019FAF" w14:textId="77777777" w:rsidR="004C45CD" w:rsidRPr="00636169" w:rsidRDefault="004C45CD" w:rsidP="00F449BB">
            <w:pPr>
              <w:jc w:val="center"/>
              <w:rPr>
                <w:b/>
                <w:bCs/>
                <w:sz w:val="20"/>
                <w:szCs w:val="20"/>
              </w:rPr>
            </w:pPr>
          </w:p>
        </w:tc>
      </w:tr>
      <w:tr w:rsidR="004C45CD" w:rsidRPr="00636169" w14:paraId="75F129C9" w14:textId="77777777" w:rsidTr="00F449BB">
        <w:trPr>
          <w:gridAfter w:val="1"/>
          <w:wAfter w:w="1560" w:type="dxa"/>
        </w:trPr>
        <w:tc>
          <w:tcPr>
            <w:tcW w:w="1913" w:type="dxa"/>
            <w:tcBorders>
              <w:top w:val="single" w:sz="4" w:space="0" w:color="auto"/>
              <w:bottom w:val="nil"/>
            </w:tcBorders>
            <w:vAlign w:val="center"/>
          </w:tcPr>
          <w:p w14:paraId="357F3813" w14:textId="77777777" w:rsidR="004C45CD" w:rsidRPr="009C7364" w:rsidRDefault="004C45CD" w:rsidP="00F449BB">
            <w:pPr>
              <w:rPr>
                <w:b/>
                <w:bCs/>
                <w:sz w:val="15"/>
                <w:szCs w:val="15"/>
              </w:rPr>
            </w:pPr>
            <w:r w:rsidRPr="009C7364">
              <w:rPr>
                <w:sz w:val="15"/>
                <w:szCs w:val="15"/>
              </w:rPr>
              <w:t>Female</w:t>
            </w:r>
          </w:p>
        </w:tc>
        <w:tc>
          <w:tcPr>
            <w:tcW w:w="1773" w:type="dxa"/>
            <w:tcBorders>
              <w:top w:val="single" w:sz="4" w:space="0" w:color="auto"/>
              <w:bottom w:val="nil"/>
            </w:tcBorders>
            <w:vAlign w:val="center"/>
          </w:tcPr>
          <w:p w14:paraId="6D111850" w14:textId="31947F71" w:rsidR="004C45CD" w:rsidRDefault="00F63921" w:rsidP="00F449BB">
            <w:pPr>
              <w:jc w:val="center"/>
              <w:rPr>
                <w:sz w:val="15"/>
                <w:szCs w:val="15"/>
              </w:rPr>
            </w:pPr>
            <w:r>
              <w:rPr>
                <w:sz w:val="15"/>
                <w:szCs w:val="15"/>
              </w:rPr>
              <w:t>0.036</w:t>
            </w:r>
            <w:r w:rsidR="00AB6332">
              <w:rPr>
                <w:sz w:val="15"/>
                <w:szCs w:val="15"/>
              </w:rPr>
              <w:t>***</w:t>
            </w:r>
          </w:p>
          <w:p w14:paraId="766D7042" w14:textId="12C5863C" w:rsidR="00AB6332" w:rsidRPr="009C7364" w:rsidRDefault="00AB6332" w:rsidP="00F449BB">
            <w:pPr>
              <w:jc w:val="center"/>
              <w:rPr>
                <w:sz w:val="15"/>
                <w:szCs w:val="15"/>
              </w:rPr>
            </w:pPr>
            <w:r>
              <w:rPr>
                <w:sz w:val="15"/>
                <w:szCs w:val="15"/>
              </w:rPr>
              <w:t>(0.008)</w:t>
            </w:r>
          </w:p>
        </w:tc>
        <w:tc>
          <w:tcPr>
            <w:tcW w:w="1984" w:type="dxa"/>
            <w:tcBorders>
              <w:top w:val="single" w:sz="4" w:space="0" w:color="auto"/>
              <w:bottom w:val="nil"/>
              <w:right w:val="single" w:sz="4" w:space="0" w:color="auto"/>
            </w:tcBorders>
            <w:vAlign w:val="center"/>
          </w:tcPr>
          <w:p w14:paraId="2678D284" w14:textId="518A7DD4" w:rsidR="004C45CD" w:rsidRDefault="00D44D06" w:rsidP="00F449BB">
            <w:pPr>
              <w:jc w:val="center"/>
              <w:rPr>
                <w:sz w:val="15"/>
                <w:szCs w:val="15"/>
              </w:rPr>
            </w:pPr>
            <w:r>
              <w:rPr>
                <w:sz w:val="15"/>
                <w:szCs w:val="15"/>
              </w:rPr>
              <w:t>0.025***</w:t>
            </w:r>
          </w:p>
          <w:p w14:paraId="2D27997F" w14:textId="14ED8C64" w:rsidR="00D44D06" w:rsidRPr="00636169" w:rsidRDefault="00D44D06" w:rsidP="00F449BB">
            <w:pPr>
              <w:jc w:val="center"/>
              <w:rPr>
                <w:sz w:val="15"/>
                <w:szCs w:val="15"/>
              </w:rPr>
            </w:pPr>
            <w:r>
              <w:rPr>
                <w:sz w:val="15"/>
                <w:szCs w:val="15"/>
              </w:rPr>
              <w:t>(0.007)</w:t>
            </w:r>
          </w:p>
        </w:tc>
        <w:tc>
          <w:tcPr>
            <w:tcW w:w="1560" w:type="dxa"/>
            <w:tcBorders>
              <w:top w:val="single" w:sz="4" w:space="0" w:color="auto"/>
              <w:left w:val="single" w:sz="4" w:space="0" w:color="auto"/>
              <w:bottom w:val="nil"/>
            </w:tcBorders>
            <w:vAlign w:val="center"/>
          </w:tcPr>
          <w:p w14:paraId="086DFAB0" w14:textId="578441E4" w:rsidR="004C45CD" w:rsidRDefault="00D45895" w:rsidP="00F449BB">
            <w:pPr>
              <w:jc w:val="center"/>
              <w:rPr>
                <w:sz w:val="15"/>
                <w:szCs w:val="15"/>
              </w:rPr>
            </w:pPr>
            <w:r>
              <w:rPr>
                <w:sz w:val="15"/>
                <w:szCs w:val="15"/>
              </w:rPr>
              <w:t>0.086***</w:t>
            </w:r>
          </w:p>
          <w:p w14:paraId="07F149BB" w14:textId="3002B3CA" w:rsidR="00D45895" w:rsidRPr="00636169" w:rsidRDefault="00D45895" w:rsidP="00F449BB">
            <w:pPr>
              <w:jc w:val="center"/>
              <w:rPr>
                <w:sz w:val="15"/>
                <w:szCs w:val="15"/>
              </w:rPr>
            </w:pPr>
            <w:r>
              <w:rPr>
                <w:sz w:val="15"/>
                <w:szCs w:val="15"/>
              </w:rPr>
              <w:t>(0.012)</w:t>
            </w:r>
          </w:p>
        </w:tc>
        <w:tc>
          <w:tcPr>
            <w:tcW w:w="1557" w:type="dxa"/>
            <w:tcBorders>
              <w:top w:val="single" w:sz="4" w:space="0" w:color="auto"/>
              <w:bottom w:val="nil"/>
            </w:tcBorders>
            <w:vAlign w:val="center"/>
          </w:tcPr>
          <w:p w14:paraId="7A287D84" w14:textId="308BB35D" w:rsidR="004C45CD" w:rsidRDefault="007B3C2D" w:rsidP="00F449BB">
            <w:pPr>
              <w:jc w:val="center"/>
              <w:rPr>
                <w:sz w:val="15"/>
                <w:szCs w:val="15"/>
              </w:rPr>
            </w:pPr>
            <w:r>
              <w:rPr>
                <w:sz w:val="15"/>
                <w:szCs w:val="15"/>
              </w:rPr>
              <w:t>0.</w:t>
            </w:r>
            <w:r w:rsidR="00010B96">
              <w:rPr>
                <w:sz w:val="15"/>
                <w:szCs w:val="15"/>
              </w:rPr>
              <w:t>067</w:t>
            </w:r>
            <w:r>
              <w:rPr>
                <w:sz w:val="15"/>
                <w:szCs w:val="15"/>
              </w:rPr>
              <w:t>***</w:t>
            </w:r>
          </w:p>
          <w:p w14:paraId="58D5096A" w14:textId="07469C91" w:rsidR="007B3C2D" w:rsidRPr="00636169" w:rsidRDefault="007B3C2D" w:rsidP="00F449BB">
            <w:pPr>
              <w:jc w:val="center"/>
              <w:rPr>
                <w:sz w:val="15"/>
                <w:szCs w:val="15"/>
              </w:rPr>
            </w:pPr>
            <w:r>
              <w:rPr>
                <w:sz w:val="15"/>
                <w:szCs w:val="15"/>
              </w:rPr>
              <w:t>(0.0</w:t>
            </w:r>
            <w:r w:rsidR="00F54A93">
              <w:rPr>
                <w:sz w:val="15"/>
                <w:szCs w:val="15"/>
              </w:rPr>
              <w:t>12</w:t>
            </w:r>
            <w:r>
              <w:rPr>
                <w:sz w:val="15"/>
                <w:szCs w:val="15"/>
              </w:rPr>
              <w:t>)</w:t>
            </w:r>
          </w:p>
        </w:tc>
        <w:tc>
          <w:tcPr>
            <w:tcW w:w="239" w:type="dxa"/>
            <w:tcBorders>
              <w:top w:val="single" w:sz="4" w:space="0" w:color="auto"/>
              <w:bottom w:val="nil"/>
            </w:tcBorders>
          </w:tcPr>
          <w:p w14:paraId="7FD6FE92" w14:textId="77777777" w:rsidR="004C45CD" w:rsidRPr="00636169" w:rsidRDefault="004C45CD" w:rsidP="00F449BB">
            <w:pPr>
              <w:jc w:val="center"/>
              <w:rPr>
                <w:sz w:val="16"/>
                <w:szCs w:val="16"/>
              </w:rPr>
            </w:pPr>
          </w:p>
        </w:tc>
      </w:tr>
      <w:tr w:rsidR="004C45CD" w:rsidRPr="00636169" w14:paraId="1340DCD5" w14:textId="77777777" w:rsidTr="00F449BB">
        <w:trPr>
          <w:gridAfter w:val="1"/>
          <w:wAfter w:w="1560" w:type="dxa"/>
        </w:trPr>
        <w:tc>
          <w:tcPr>
            <w:tcW w:w="3686" w:type="dxa"/>
            <w:gridSpan w:val="2"/>
            <w:tcBorders>
              <w:top w:val="nil"/>
            </w:tcBorders>
            <w:vAlign w:val="center"/>
          </w:tcPr>
          <w:p w14:paraId="3FDD02E0" w14:textId="77777777" w:rsidR="004C45CD" w:rsidRPr="009C7364" w:rsidRDefault="004C45CD" w:rsidP="00F449BB">
            <w:pPr>
              <w:rPr>
                <w:sz w:val="15"/>
                <w:szCs w:val="15"/>
              </w:rPr>
            </w:pPr>
            <w:r w:rsidRPr="00636169">
              <w:rPr>
                <w:i/>
                <w:iCs/>
                <w:sz w:val="15"/>
                <w:szCs w:val="15"/>
              </w:rPr>
              <w:t>Age category (Ref: 15-29 years)</w:t>
            </w:r>
          </w:p>
        </w:tc>
        <w:tc>
          <w:tcPr>
            <w:tcW w:w="1984" w:type="dxa"/>
            <w:tcBorders>
              <w:top w:val="nil"/>
              <w:right w:val="single" w:sz="4" w:space="0" w:color="auto"/>
            </w:tcBorders>
            <w:vAlign w:val="center"/>
          </w:tcPr>
          <w:p w14:paraId="1CC412C9" w14:textId="77777777" w:rsidR="004C45CD" w:rsidRPr="00636169" w:rsidRDefault="004C45CD" w:rsidP="00F449BB">
            <w:pPr>
              <w:jc w:val="center"/>
              <w:rPr>
                <w:sz w:val="15"/>
                <w:szCs w:val="15"/>
              </w:rPr>
            </w:pPr>
          </w:p>
        </w:tc>
        <w:tc>
          <w:tcPr>
            <w:tcW w:w="1560" w:type="dxa"/>
            <w:tcBorders>
              <w:top w:val="nil"/>
              <w:left w:val="single" w:sz="4" w:space="0" w:color="auto"/>
            </w:tcBorders>
            <w:vAlign w:val="center"/>
          </w:tcPr>
          <w:p w14:paraId="29116078" w14:textId="77777777" w:rsidR="004C45CD" w:rsidRPr="00636169" w:rsidRDefault="004C45CD" w:rsidP="00F449BB">
            <w:pPr>
              <w:jc w:val="center"/>
              <w:rPr>
                <w:sz w:val="15"/>
                <w:szCs w:val="15"/>
              </w:rPr>
            </w:pPr>
          </w:p>
        </w:tc>
        <w:tc>
          <w:tcPr>
            <w:tcW w:w="1557" w:type="dxa"/>
            <w:tcBorders>
              <w:top w:val="nil"/>
            </w:tcBorders>
            <w:vAlign w:val="center"/>
          </w:tcPr>
          <w:p w14:paraId="1AAE9EF5" w14:textId="77777777" w:rsidR="004C45CD" w:rsidRDefault="004C45CD" w:rsidP="00F449BB">
            <w:pPr>
              <w:jc w:val="center"/>
              <w:rPr>
                <w:sz w:val="15"/>
                <w:szCs w:val="15"/>
              </w:rPr>
            </w:pPr>
          </w:p>
        </w:tc>
        <w:tc>
          <w:tcPr>
            <w:tcW w:w="239" w:type="dxa"/>
            <w:tcBorders>
              <w:top w:val="nil"/>
            </w:tcBorders>
          </w:tcPr>
          <w:p w14:paraId="3814DBCB" w14:textId="77777777" w:rsidR="004C45CD" w:rsidRPr="00636169" w:rsidRDefault="004C45CD" w:rsidP="00F449BB">
            <w:pPr>
              <w:jc w:val="center"/>
              <w:rPr>
                <w:sz w:val="16"/>
                <w:szCs w:val="16"/>
              </w:rPr>
            </w:pPr>
          </w:p>
        </w:tc>
      </w:tr>
      <w:tr w:rsidR="004C45CD" w:rsidRPr="00636169" w14:paraId="0E306384" w14:textId="77777777" w:rsidTr="00F449BB">
        <w:trPr>
          <w:gridAfter w:val="1"/>
          <w:wAfter w:w="1560" w:type="dxa"/>
        </w:trPr>
        <w:tc>
          <w:tcPr>
            <w:tcW w:w="1913" w:type="dxa"/>
            <w:vAlign w:val="center"/>
          </w:tcPr>
          <w:p w14:paraId="3A6481F0" w14:textId="77777777" w:rsidR="004C45CD" w:rsidRPr="009C7364" w:rsidRDefault="004C45CD" w:rsidP="00F449BB">
            <w:pPr>
              <w:rPr>
                <w:b/>
                <w:bCs/>
                <w:sz w:val="15"/>
                <w:szCs w:val="15"/>
              </w:rPr>
            </w:pPr>
            <w:r w:rsidRPr="009C7364">
              <w:rPr>
                <w:sz w:val="15"/>
                <w:szCs w:val="15"/>
              </w:rPr>
              <w:t xml:space="preserve"> 30-49</w:t>
            </w:r>
          </w:p>
        </w:tc>
        <w:tc>
          <w:tcPr>
            <w:tcW w:w="1773" w:type="dxa"/>
            <w:vAlign w:val="center"/>
          </w:tcPr>
          <w:p w14:paraId="3B6B2F59" w14:textId="65777B7A" w:rsidR="004C45CD" w:rsidRDefault="00127EF9" w:rsidP="00F449BB">
            <w:pPr>
              <w:jc w:val="center"/>
              <w:rPr>
                <w:sz w:val="15"/>
                <w:szCs w:val="15"/>
              </w:rPr>
            </w:pPr>
            <w:r>
              <w:rPr>
                <w:sz w:val="15"/>
                <w:szCs w:val="15"/>
              </w:rPr>
              <w:t>-0.028*</w:t>
            </w:r>
          </w:p>
          <w:p w14:paraId="06F308D7" w14:textId="7BDCECDB" w:rsidR="00127EF9" w:rsidRPr="009C7364" w:rsidRDefault="00127EF9" w:rsidP="00F449BB">
            <w:pPr>
              <w:jc w:val="center"/>
              <w:rPr>
                <w:sz w:val="15"/>
                <w:szCs w:val="15"/>
              </w:rPr>
            </w:pPr>
            <w:r>
              <w:rPr>
                <w:sz w:val="15"/>
                <w:szCs w:val="15"/>
              </w:rPr>
              <w:t>(0.013)</w:t>
            </w:r>
          </w:p>
        </w:tc>
        <w:tc>
          <w:tcPr>
            <w:tcW w:w="1984" w:type="dxa"/>
            <w:tcBorders>
              <w:right w:val="single" w:sz="4" w:space="0" w:color="auto"/>
            </w:tcBorders>
            <w:vAlign w:val="center"/>
          </w:tcPr>
          <w:p w14:paraId="09D7F640" w14:textId="2C9BC8E2" w:rsidR="004C45CD" w:rsidRDefault="00D84F07" w:rsidP="00F449BB">
            <w:pPr>
              <w:jc w:val="center"/>
              <w:rPr>
                <w:sz w:val="15"/>
                <w:szCs w:val="15"/>
              </w:rPr>
            </w:pPr>
            <w:r>
              <w:rPr>
                <w:sz w:val="15"/>
                <w:szCs w:val="15"/>
              </w:rPr>
              <w:t>-0.023*</w:t>
            </w:r>
          </w:p>
          <w:p w14:paraId="7C63AB94" w14:textId="1F9EDD48" w:rsidR="00D84F07" w:rsidRPr="006A01DA" w:rsidRDefault="00D84F07" w:rsidP="00F449BB">
            <w:pPr>
              <w:jc w:val="center"/>
              <w:rPr>
                <w:sz w:val="15"/>
                <w:szCs w:val="15"/>
              </w:rPr>
            </w:pPr>
            <w:r>
              <w:rPr>
                <w:sz w:val="15"/>
                <w:szCs w:val="15"/>
              </w:rPr>
              <w:t>(0.011)</w:t>
            </w:r>
          </w:p>
        </w:tc>
        <w:tc>
          <w:tcPr>
            <w:tcW w:w="1560" w:type="dxa"/>
            <w:tcBorders>
              <w:left w:val="single" w:sz="4" w:space="0" w:color="auto"/>
            </w:tcBorders>
            <w:vAlign w:val="center"/>
          </w:tcPr>
          <w:p w14:paraId="2F2BF077" w14:textId="77777777" w:rsidR="004C45CD" w:rsidRDefault="00A24DF6" w:rsidP="00F449BB">
            <w:pPr>
              <w:jc w:val="center"/>
              <w:rPr>
                <w:sz w:val="15"/>
                <w:szCs w:val="15"/>
              </w:rPr>
            </w:pPr>
            <w:r>
              <w:rPr>
                <w:sz w:val="15"/>
                <w:szCs w:val="15"/>
              </w:rPr>
              <w:t>-0.033</w:t>
            </w:r>
          </w:p>
          <w:p w14:paraId="01983555" w14:textId="08BBAC87" w:rsidR="00A24DF6" w:rsidRPr="006A01DA" w:rsidRDefault="00A24DF6" w:rsidP="00F449BB">
            <w:pPr>
              <w:jc w:val="center"/>
              <w:rPr>
                <w:sz w:val="15"/>
                <w:szCs w:val="15"/>
              </w:rPr>
            </w:pPr>
            <w:r>
              <w:rPr>
                <w:sz w:val="15"/>
                <w:szCs w:val="15"/>
              </w:rPr>
              <w:t>(0.020)</w:t>
            </w:r>
          </w:p>
        </w:tc>
        <w:tc>
          <w:tcPr>
            <w:tcW w:w="1557" w:type="dxa"/>
            <w:vAlign w:val="center"/>
          </w:tcPr>
          <w:p w14:paraId="618B6CDD" w14:textId="53CCD799" w:rsidR="004C45CD" w:rsidRDefault="0059648A" w:rsidP="00F449BB">
            <w:pPr>
              <w:jc w:val="center"/>
              <w:rPr>
                <w:sz w:val="15"/>
                <w:szCs w:val="15"/>
              </w:rPr>
            </w:pPr>
            <w:r>
              <w:rPr>
                <w:sz w:val="15"/>
                <w:szCs w:val="15"/>
              </w:rPr>
              <w:t>-0.</w:t>
            </w:r>
            <w:r w:rsidR="00F54A93">
              <w:rPr>
                <w:sz w:val="15"/>
                <w:szCs w:val="15"/>
              </w:rPr>
              <w:t>0</w:t>
            </w:r>
            <w:r>
              <w:rPr>
                <w:sz w:val="15"/>
                <w:szCs w:val="15"/>
              </w:rPr>
              <w:t>2</w:t>
            </w:r>
            <w:r w:rsidR="00F54A93">
              <w:rPr>
                <w:sz w:val="15"/>
                <w:szCs w:val="15"/>
              </w:rPr>
              <w:t>9</w:t>
            </w:r>
          </w:p>
          <w:p w14:paraId="62A9781A" w14:textId="6767DD95" w:rsidR="0059648A" w:rsidRPr="006A01DA" w:rsidRDefault="0059648A" w:rsidP="00F449BB">
            <w:pPr>
              <w:jc w:val="center"/>
              <w:rPr>
                <w:sz w:val="15"/>
                <w:szCs w:val="15"/>
              </w:rPr>
            </w:pPr>
            <w:r>
              <w:rPr>
                <w:sz w:val="15"/>
                <w:szCs w:val="15"/>
              </w:rPr>
              <w:t>(0.</w:t>
            </w:r>
            <w:r w:rsidR="00F54A93">
              <w:rPr>
                <w:sz w:val="15"/>
                <w:szCs w:val="15"/>
              </w:rPr>
              <w:t>019</w:t>
            </w:r>
            <w:r>
              <w:rPr>
                <w:sz w:val="15"/>
                <w:szCs w:val="15"/>
              </w:rPr>
              <w:t>)</w:t>
            </w:r>
          </w:p>
        </w:tc>
        <w:tc>
          <w:tcPr>
            <w:tcW w:w="239" w:type="dxa"/>
          </w:tcPr>
          <w:p w14:paraId="1A7178B4" w14:textId="77777777" w:rsidR="004C45CD" w:rsidRPr="00636169" w:rsidRDefault="004C45CD" w:rsidP="00F449BB">
            <w:pPr>
              <w:jc w:val="center"/>
              <w:rPr>
                <w:sz w:val="16"/>
                <w:szCs w:val="16"/>
              </w:rPr>
            </w:pPr>
          </w:p>
        </w:tc>
      </w:tr>
      <w:tr w:rsidR="004C45CD" w:rsidRPr="00636169" w14:paraId="1C38C738" w14:textId="77777777" w:rsidTr="00F449BB">
        <w:trPr>
          <w:gridAfter w:val="1"/>
          <w:wAfter w:w="1560" w:type="dxa"/>
        </w:trPr>
        <w:tc>
          <w:tcPr>
            <w:tcW w:w="1913" w:type="dxa"/>
            <w:vAlign w:val="center"/>
          </w:tcPr>
          <w:p w14:paraId="7166756C" w14:textId="77777777" w:rsidR="004C45CD" w:rsidRPr="009C7364" w:rsidRDefault="004C45CD" w:rsidP="00F449BB">
            <w:pPr>
              <w:rPr>
                <w:b/>
                <w:bCs/>
                <w:sz w:val="15"/>
                <w:szCs w:val="15"/>
              </w:rPr>
            </w:pPr>
            <w:r w:rsidRPr="009C7364">
              <w:rPr>
                <w:sz w:val="15"/>
                <w:szCs w:val="15"/>
              </w:rPr>
              <w:t xml:space="preserve"> 50-64</w:t>
            </w:r>
          </w:p>
        </w:tc>
        <w:tc>
          <w:tcPr>
            <w:tcW w:w="1773" w:type="dxa"/>
            <w:vAlign w:val="center"/>
          </w:tcPr>
          <w:p w14:paraId="5909ABB1" w14:textId="368E87DB" w:rsidR="00D9796A" w:rsidRDefault="00D9796A" w:rsidP="00D9796A">
            <w:pPr>
              <w:jc w:val="center"/>
              <w:rPr>
                <w:sz w:val="15"/>
                <w:szCs w:val="15"/>
              </w:rPr>
            </w:pPr>
            <w:r>
              <w:rPr>
                <w:sz w:val="15"/>
                <w:szCs w:val="15"/>
              </w:rPr>
              <w:t>-0.043**</w:t>
            </w:r>
          </w:p>
          <w:p w14:paraId="42D22704" w14:textId="3096834F" w:rsidR="002E1E19" w:rsidRPr="009C7364" w:rsidRDefault="00D9796A" w:rsidP="002E1E19">
            <w:pPr>
              <w:jc w:val="center"/>
              <w:rPr>
                <w:sz w:val="15"/>
                <w:szCs w:val="15"/>
              </w:rPr>
            </w:pPr>
            <w:r>
              <w:rPr>
                <w:sz w:val="15"/>
                <w:szCs w:val="15"/>
              </w:rPr>
              <w:t>(0.014)</w:t>
            </w:r>
          </w:p>
        </w:tc>
        <w:tc>
          <w:tcPr>
            <w:tcW w:w="1984" w:type="dxa"/>
            <w:tcBorders>
              <w:right w:val="single" w:sz="4" w:space="0" w:color="auto"/>
            </w:tcBorders>
            <w:vAlign w:val="center"/>
          </w:tcPr>
          <w:p w14:paraId="3B369126" w14:textId="60A617EA" w:rsidR="004C45CD" w:rsidRDefault="00D84F07" w:rsidP="00F449BB">
            <w:pPr>
              <w:jc w:val="center"/>
              <w:rPr>
                <w:sz w:val="15"/>
                <w:szCs w:val="15"/>
              </w:rPr>
            </w:pPr>
            <w:r>
              <w:rPr>
                <w:sz w:val="15"/>
                <w:szCs w:val="15"/>
              </w:rPr>
              <w:t>-0.031</w:t>
            </w:r>
            <w:r w:rsidR="00746228">
              <w:rPr>
                <w:sz w:val="15"/>
                <w:szCs w:val="15"/>
              </w:rPr>
              <w:t>*</w:t>
            </w:r>
          </w:p>
          <w:p w14:paraId="27708E0C" w14:textId="3A8E1F6F" w:rsidR="00D84F07" w:rsidRPr="006A01DA" w:rsidRDefault="00D84F07" w:rsidP="00F449BB">
            <w:pPr>
              <w:jc w:val="center"/>
              <w:rPr>
                <w:sz w:val="15"/>
                <w:szCs w:val="15"/>
              </w:rPr>
            </w:pPr>
            <w:r>
              <w:rPr>
                <w:sz w:val="15"/>
                <w:szCs w:val="15"/>
              </w:rPr>
              <w:t>(0.013)</w:t>
            </w:r>
          </w:p>
        </w:tc>
        <w:tc>
          <w:tcPr>
            <w:tcW w:w="1560" w:type="dxa"/>
            <w:tcBorders>
              <w:left w:val="single" w:sz="4" w:space="0" w:color="auto"/>
            </w:tcBorders>
            <w:vAlign w:val="center"/>
          </w:tcPr>
          <w:p w14:paraId="3D49668D" w14:textId="619FA8C9" w:rsidR="004C45CD" w:rsidRDefault="00A24DF6" w:rsidP="00F449BB">
            <w:pPr>
              <w:jc w:val="center"/>
              <w:rPr>
                <w:sz w:val="15"/>
                <w:szCs w:val="15"/>
              </w:rPr>
            </w:pPr>
            <w:r>
              <w:rPr>
                <w:sz w:val="15"/>
                <w:szCs w:val="15"/>
              </w:rPr>
              <w:t>-0.076</w:t>
            </w:r>
            <w:r w:rsidR="00B8593A">
              <w:rPr>
                <w:sz w:val="15"/>
                <w:szCs w:val="15"/>
              </w:rPr>
              <w:t>***</w:t>
            </w:r>
          </w:p>
          <w:p w14:paraId="1DE44657" w14:textId="18C8C836" w:rsidR="00A24DF6" w:rsidRPr="006A01DA" w:rsidRDefault="00A24DF6" w:rsidP="00F449BB">
            <w:pPr>
              <w:jc w:val="center"/>
              <w:rPr>
                <w:sz w:val="15"/>
                <w:szCs w:val="15"/>
              </w:rPr>
            </w:pPr>
            <w:r>
              <w:rPr>
                <w:sz w:val="15"/>
                <w:szCs w:val="15"/>
              </w:rPr>
              <w:t>(0.021)</w:t>
            </w:r>
          </w:p>
        </w:tc>
        <w:tc>
          <w:tcPr>
            <w:tcW w:w="1557" w:type="dxa"/>
            <w:vAlign w:val="center"/>
          </w:tcPr>
          <w:p w14:paraId="294C1A7B" w14:textId="6D2F6548" w:rsidR="004C45CD" w:rsidRDefault="0059648A" w:rsidP="00F449BB">
            <w:pPr>
              <w:jc w:val="center"/>
              <w:rPr>
                <w:sz w:val="15"/>
                <w:szCs w:val="15"/>
              </w:rPr>
            </w:pPr>
            <w:r>
              <w:rPr>
                <w:sz w:val="15"/>
                <w:szCs w:val="15"/>
              </w:rPr>
              <w:t>-0.</w:t>
            </w:r>
            <w:r w:rsidR="00F54A93">
              <w:rPr>
                <w:sz w:val="15"/>
                <w:szCs w:val="15"/>
              </w:rPr>
              <w:t>062**</w:t>
            </w:r>
          </w:p>
          <w:p w14:paraId="01D33A1D" w14:textId="20FF08AF" w:rsidR="0059648A" w:rsidRPr="006A01DA" w:rsidRDefault="0059648A" w:rsidP="00F449BB">
            <w:pPr>
              <w:jc w:val="center"/>
              <w:rPr>
                <w:sz w:val="15"/>
                <w:szCs w:val="15"/>
              </w:rPr>
            </w:pPr>
            <w:r>
              <w:rPr>
                <w:sz w:val="15"/>
                <w:szCs w:val="15"/>
              </w:rPr>
              <w:t>(0.</w:t>
            </w:r>
            <w:r w:rsidR="00F54A93">
              <w:rPr>
                <w:sz w:val="15"/>
                <w:szCs w:val="15"/>
              </w:rPr>
              <w:t>020</w:t>
            </w:r>
            <w:r>
              <w:rPr>
                <w:sz w:val="15"/>
                <w:szCs w:val="15"/>
              </w:rPr>
              <w:t>)</w:t>
            </w:r>
          </w:p>
        </w:tc>
        <w:tc>
          <w:tcPr>
            <w:tcW w:w="239" w:type="dxa"/>
          </w:tcPr>
          <w:p w14:paraId="1F690D87" w14:textId="77777777" w:rsidR="004C45CD" w:rsidRPr="00636169" w:rsidRDefault="004C45CD" w:rsidP="00F449BB">
            <w:pPr>
              <w:jc w:val="center"/>
              <w:rPr>
                <w:sz w:val="16"/>
                <w:szCs w:val="16"/>
              </w:rPr>
            </w:pPr>
          </w:p>
        </w:tc>
      </w:tr>
      <w:tr w:rsidR="004C45CD" w:rsidRPr="00636169" w14:paraId="2ACA72AA" w14:textId="77777777" w:rsidTr="00F449BB">
        <w:trPr>
          <w:gridAfter w:val="1"/>
          <w:wAfter w:w="1560" w:type="dxa"/>
        </w:trPr>
        <w:tc>
          <w:tcPr>
            <w:tcW w:w="1913" w:type="dxa"/>
            <w:vAlign w:val="center"/>
          </w:tcPr>
          <w:p w14:paraId="493F6B49" w14:textId="77777777" w:rsidR="004C45CD" w:rsidRPr="009C7364" w:rsidRDefault="004C45CD" w:rsidP="00F449BB">
            <w:pPr>
              <w:rPr>
                <w:b/>
                <w:bCs/>
                <w:sz w:val="15"/>
                <w:szCs w:val="15"/>
              </w:rPr>
            </w:pPr>
            <w:r w:rsidRPr="009C7364">
              <w:rPr>
                <w:sz w:val="15"/>
                <w:szCs w:val="15"/>
              </w:rPr>
              <w:t xml:space="preserve"> 65+</w:t>
            </w:r>
          </w:p>
        </w:tc>
        <w:tc>
          <w:tcPr>
            <w:tcW w:w="1773" w:type="dxa"/>
            <w:vAlign w:val="center"/>
          </w:tcPr>
          <w:p w14:paraId="3B9BCE59" w14:textId="77777777" w:rsidR="002E1E19" w:rsidRDefault="002E1E19" w:rsidP="002E1E19">
            <w:pPr>
              <w:jc w:val="center"/>
              <w:rPr>
                <w:sz w:val="15"/>
                <w:szCs w:val="15"/>
              </w:rPr>
            </w:pPr>
            <w:r>
              <w:rPr>
                <w:sz w:val="15"/>
                <w:szCs w:val="15"/>
              </w:rPr>
              <w:t>-0.047**</w:t>
            </w:r>
          </w:p>
          <w:p w14:paraId="2650EB67" w14:textId="6347F1CA" w:rsidR="004C45CD" w:rsidRPr="009C7364" w:rsidRDefault="002E1E19" w:rsidP="002E1E19">
            <w:pPr>
              <w:jc w:val="center"/>
              <w:rPr>
                <w:sz w:val="15"/>
                <w:szCs w:val="15"/>
              </w:rPr>
            </w:pPr>
            <w:r>
              <w:rPr>
                <w:sz w:val="15"/>
                <w:szCs w:val="15"/>
              </w:rPr>
              <w:t>(0.016)</w:t>
            </w:r>
          </w:p>
        </w:tc>
        <w:tc>
          <w:tcPr>
            <w:tcW w:w="1984" w:type="dxa"/>
            <w:tcBorders>
              <w:right w:val="single" w:sz="4" w:space="0" w:color="auto"/>
            </w:tcBorders>
            <w:vAlign w:val="center"/>
          </w:tcPr>
          <w:p w14:paraId="058C02E9" w14:textId="77777777" w:rsidR="004C45CD" w:rsidRDefault="00D84F07" w:rsidP="00F449BB">
            <w:pPr>
              <w:jc w:val="center"/>
              <w:rPr>
                <w:sz w:val="15"/>
                <w:szCs w:val="15"/>
              </w:rPr>
            </w:pPr>
            <w:r>
              <w:rPr>
                <w:sz w:val="15"/>
                <w:szCs w:val="15"/>
              </w:rPr>
              <w:t>-0.024</w:t>
            </w:r>
          </w:p>
          <w:p w14:paraId="4E158AD7" w14:textId="6B010E24" w:rsidR="00D84F07" w:rsidRPr="006A01DA" w:rsidRDefault="00D84F07" w:rsidP="00F449BB">
            <w:pPr>
              <w:jc w:val="center"/>
              <w:rPr>
                <w:sz w:val="15"/>
                <w:szCs w:val="15"/>
              </w:rPr>
            </w:pPr>
            <w:r>
              <w:rPr>
                <w:sz w:val="15"/>
                <w:szCs w:val="15"/>
              </w:rPr>
              <w:t>(</w:t>
            </w:r>
            <w:r w:rsidR="00072C35">
              <w:rPr>
                <w:sz w:val="15"/>
                <w:szCs w:val="15"/>
              </w:rPr>
              <w:t>0.016)</w:t>
            </w:r>
          </w:p>
        </w:tc>
        <w:tc>
          <w:tcPr>
            <w:tcW w:w="1560" w:type="dxa"/>
            <w:tcBorders>
              <w:left w:val="single" w:sz="4" w:space="0" w:color="auto"/>
            </w:tcBorders>
            <w:vAlign w:val="center"/>
          </w:tcPr>
          <w:p w14:paraId="5133A464" w14:textId="30C93011" w:rsidR="004C45CD" w:rsidRDefault="00B8593A" w:rsidP="00F449BB">
            <w:pPr>
              <w:jc w:val="center"/>
              <w:rPr>
                <w:sz w:val="15"/>
                <w:szCs w:val="15"/>
              </w:rPr>
            </w:pPr>
            <w:r>
              <w:rPr>
                <w:sz w:val="15"/>
                <w:szCs w:val="15"/>
              </w:rPr>
              <w:t>-0.092***</w:t>
            </w:r>
          </w:p>
          <w:p w14:paraId="56912035" w14:textId="4F376DEC" w:rsidR="00B8593A" w:rsidRPr="006A01DA" w:rsidRDefault="00B8593A" w:rsidP="00F449BB">
            <w:pPr>
              <w:jc w:val="center"/>
              <w:rPr>
                <w:sz w:val="15"/>
                <w:szCs w:val="15"/>
              </w:rPr>
            </w:pPr>
            <w:r>
              <w:rPr>
                <w:sz w:val="15"/>
                <w:szCs w:val="15"/>
              </w:rPr>
              <w:t>(0.024)</w:t>
            </w:r>
          </w:p>
        </w:tc>
        <w:tc>
          <w:tcPr>
            <w:tcW w:w="1557" w:type="dxa"/>
            <w:vAlign w:val="center"/>
          </w:tcPr>
          <w:p w14:paraId="77F80B74" w14:textId="02F54130" w:rsidR="004C45CD" w:rsidRDefault="0059648A" w:rsidP="00F449BB">
            <w:pPr>
              <w:jc w:val="center"/>
              <w:rPr>
                <w:sz w:val="15"/>
                <w:szCs w:val="15"/>
              </w:rPr>
            </w:pPr>
            <w:r>
              <w:rPr>
                <w:sz w:val="15"/>
                <w:szCs w:val="15"/>
              </w:rPr>
              <w:t>-0.</w:t>
            </w:r>
            <w:r w:rsidR="00F54A93">
              <w:rPr>
                <w:sz w:val="15"/>
                <w:szCs w:val="15"/>
              </w:rPr>
              <w:t>057</w:t>
            </w:r>
            <w:r w:rsidR="00C111F4">
              <w:rPr>
                <w:sz w:val="15"/>
                <w:szCs w:val="15"/>
              </w:rPr>
              <w:t>*</w:t>
            </w:r>
          </w:p>
          <w:p w14:paraId="044C89A7" w14:textId="2816267B" w:rsidR="0059648A" w:rsidRPr="006A01DA" w:rsidRDefault="0059648A" w:rsidP="00F449BB">
            <w:pPr>
              <w:jc w:val="center"/>
              <w:rPr>
                <w:sz w:val="15"/>
                <w:szCs w:val="15"/>
              </w:rPr>
            </w:pPr>
            <w:r>
              <w:rPr>
                <w:sz w:val="15"/>
                <w:szCs w:val="15"/>
              </w:rPr>
              <w:t>(</w:t>
            </w:r>
            <w:r w:rsidR="00864F9B">
              <w:rPr>
                <w:sz w:val="15"/>
                <w:szCs w:val="15"/>
              </w:rPr>
              <w:t>0.</w:t>
            </w:r>
            <w:r w:rsidR="00F54A93">
              <w:rPr>
                <w:sz w:val="15"/>
                <w:szCs w:val="15"/>
              </w:rPr>
              <w:t>023</w:t>
            </w:r>
            <w:r w:rsidR="00864F9B">
              <w:rPr>
                <w:sz w:val="15"/>
                <w:szCs w:val="15"/>
              </w:rPr>
              <w:t>)</w:t>
            </w:r>
          </w:p>
        </w:tc>
        <w:tc>
          <w:tcPr>
            <w:tcW w:w="239" w:type="dxa"/>
          </w:tcPr>
          <w:p w14:paraId="074986F1" w14:textId="77777777" w:rsidR="004C45CD" w:rsidRPr="00636169" w:rsidRDefault="004C45CD" w:rsidP="00F449BB">
            <w:pPr>
              <w:jc w:val="center"/>
              <w:rPr>
                <w:sz w:val="16"/>
                <w:szCs w:val="16"/>
              </w:rPr>
            </w:pPr>
          </w:p>
        </w:tc>
      </w:tr>
      <w:tr w:rsidR="004C45CD" w:rsidRPr="00636169" w14:paraId="504BA68D" w14:textId="77777777" w:rsidTr="00F449BB">
        <w:trPr>
          <w:gridAfter w:val="1"/>
          <w:wAfter w:w="1560" w:type="dxa"/>
        </w:trPr>
        <w:tc>
          <w:tcPr>
            <w:tcW w:w="1913" w:type="dxa"/>
            <w:vAlign w:val="center"/>
          </w:tcPr>
          <w:p w14:paraId="339DB68E" w14:textId="77777777" w:rsidR="004C45CD" w:rsidRPr="009C7364" w:rsidRDefault="004C45CD" w:rsidP="00F449BB">
            <w:pPr>
              <w:rPr>
                <w:b/>
                <w:bCs/>
                <w:sz w:val="15"/>
                <w:szCs w:val="15"/>
              </w:rPr>
            </w:pPr>
            <w:r w:rsidRPr="009C7364">
              <w:rPr>
                <w:sz w:val="15"/>
                <w:szCs w:val="15"/>
              </w:rPr>
              <w:t>Good health</w:t>
            </w:r>
          </w:p>
        </w:tc>
        <w:tc>
          <w:tcPr>
            <w:tcW w:w="1773" w:type="dxa"/>
            <w:vAlign w:val="center"/>
          </w:tcPr>
          <w:p w14:paraId="10891510" w14:textId="359BC367" w:rsidR="004C45CD" w:rsidRDefault="00C438BA" w:rsidP="00F449BB">
            <w:pPr>
              <w:jc w:val="center"/>
              <w:rPr>
                <w:sz w:val="15"/>
                <w:szCs w:val="15"/>
              </w:rPr>
            </w:pPr>
            <w:r>
              <w:rPr>
                <w:sz w:val="15"/>
                <w:szCs w:val="15"/>
              </w:rPr>
              <w:t>-0.042**</w:t>
            </w:r>
          </w:p>
          <w:p w14:paraId="45F47D48" w14:textId="76BEE093" w:rsidR="00C438BA" w:rsidRPr="009C7364" w:rsidRDefault="00C438BA" w:rsidP="00F449BB">
            <w:pPr>
              <w:jc w:val="center"/>
              <w:rPr>
                <w:sz w:val="15"/>
                <w:szCs w:val="15"/>
              </w:rPr>
            </w:pPr>
            <w:r>
              <w:rPr>
                <w:sz w:val="15"/>
                <w:szCs w:val="15"/>
              </w:rPr>
              <w:t>(0.015)</w:t>
            </w:r>
          </w:p>
        </w:tc>
        <w:tc>
          <w:tcPr>
            <w:tcW w:w="1984" w:type="dxa"/>
            <w:tcBorders>
              <w:right w:val="single" w:sz="4" w:space="0" w:color="auto"/>
            </w:tcBorders>
            <w:vAlign w:val="center"/>
          </w:tcPr>
          <w:p w14:paraId="149A6964" w14:textId="77777777" w:rsidR="004C45CD" w:rsidRDefault="00072C35" w:rsidP="00F449BB">
            <w:pPr>
              <w:jc w:val="center"/>
              <w:rPr>
                <w:sz w:val="15"/>
                <w:szCs w:val="15"/>
              </w:rPr>
            </w:pPr>
            <w:r>
              <w:rPr>
                <w:sz w:val="15"/>
                <w:szCs w:val="15"/>
              </w:rPr>
              <w:t>-0.019</w:t>
            </w:r>
          </w:p>
          <w:p w14:paraId="23F592ED" w14:textId="7BED4B75" w:rsidR="00072C35" w:rsidRPr="006A01DA" w:rsidRDefault="00072C35" w:rsidP="00F449BB">
            <w:pPr>
              <w:jc w:val="center"/>
              <w:rPr>
                <w:sz w:val="15"/>
                <w:szCs w:val="15"/>
              </w:rPr>
            </w:pPr>
            <w:r>
              <w:rPr>
                <w:sz w:val="15"/>
                <w:szCs w:val="15"/>
              </w:rPr>
              <w:t>(0.013)</w:t>
            </w:r>
          </w:p>
        </w:tc>
        <w:tc>
          <w:tcPr>
            <w:tcW w:w="1560" w:type="dxa"/>
            <w:tcBorders>
              <w:left w:val="single" w:sz="4" w:space="0" w:color="auto"/>
            </w:tcBorders>
            <w:vAlign w:val="center"/>
          </w:tcPr>
          <w:p w14:paraId="2DFE767F" w14:textId="5FC16576" w:rsidR="004C45CD" w:rsidRDefault="00B8593A" w:rsidP="00F449BB">
            <w:pPr>
              <w:jc w:val="center"/>
              <w:rPr>
                <w:sz w:val="15"/>
                <w:szCs w:val="15"/>
              </w:rPr>
            </w:pPr>
            <w:r>
              <w:rPr>
                <w:sz w:val="15"/>
                <w:szCs w:val="15"/>
              </w:rPr>
              <w:t>-0.112</w:t>
            </w:r>
            <w:r w:rsidR="00BA758F">
              <w:rPr>
                <w:sz w:val="15"/>
                <w:szCs w:val="15"/>
              </w:rPr>
              <w:t>***</w:t>
            </w:r>
          </w:p>
          <w:p w14:paraId="1B254DAC" w14:textId="125F2CDF" w:rsidR="00B8593A" w:rsidRPr="006A01DA" w:rsidRDefault="00B8593A" w:rsidP="00F449BB">
            <w:pPr>
              <w:jc w:val="center"/>
              <w:rPr>
                <w:sz w:val="15"/>
                <w:szCs w:val="15"/>
              </w:rPr>
            </w:pPr>
            <w:r>
              <w:rPr>
                <w:sz w:val="15"/>
                <w:szCs w:val="15"/>
              </w:rPr>
              <w:t>(0.0</w:t>
            </w:r>
            <w:r w:rsidR="00BA758F">
              <w:rPr>
                <w:sz w:val="15"/>
                <w:szCs w:val="15"/>
              </w:rPr>
              <w:t>23)</w:t>
            </w:r>
          </w:p>
        </w:tc>
        <w:tc>
          <w:tcPr>
            <w:tcW w:w="1557" w:type="dxa"/>
            <w:vAlign w:val="center"/>
          </w:tcPr>
          <w:p w14:paraId="5C711EA2" w14:textId="188BA3F9" w:rsidR="004C45CD" w:rsidRDefault="00245487" w:rsidP="00F449BB">
            <w:pPr>
              <w:jc w:val="center"/>
              <w:rPr>
                <w:sz w:val="15"/>
                <w:szCs w:val="15"/>
              </w:rPr>
            </w:pPr>
            <w:r>
              <w:rPr>
                <w:sz w:val="15"/>
                <w:szCs w:val="15"/>
              </w:rPr>
              <w:t>-0.</w:t>
            </w:r>
            <w:r w:rsidR="00C111F4">
              <w:rPr>
                <w:sz w:val="15"/>
                <w:szCs w:val="15"/>
              </w:rPr>
              <w:t>073</w:t>
            </w:r>
            <w:r w:rsidR="005F6CA7">
              <w:rPr>
                <w:sz w:val="15"/>
                <w:szCs w:val="15"/>
              </w:rPr>
              <w:t>**</w:t>
            </w:r>
          </w:p>
          <w:p w14:paraId="7B4CB8A6" w14:textId="5029D281" w:rsidR="00245487" w:rsidRPr="006A01DA" w:rsidRDefault="00245487" w:rsidP="00F449BB">
            <w:pPr>
              <w:jc w:val="center"/>
              <w:rPr>
                <w:sz w:val="15"/>
                <w:szCs w:val="15"/>
              </w:rPr>
            </w:pPr>
            <w:r>
              <w:rPr>
                <w:sz w:val="15"/>
                <w:szCs w:val="15"/>
              </w:rPr>
              <w:t>(0.</w:t>
            </w:r>
            <w:r w:rsidR="00C111F4">
              <w:rPr>
                <w:sz w:val="15"/>
                <w:szCs w:val="15"/>
              </w:rPr>
              <w:t>023</w:t>
            </w:r>
            <w:r>
              <w:rPr>
                <w:sz w:val="15"/>
                <w:szCs w:val="15"/>
              </w:rPr>
              <w:t>)</w:t>
            </w:r>
          </w:p>
        </w:tc>
        <w:tc>
          <w:tcPr>
            <w:tcW w:w="239" w:type="dxa"/>
          </w:tcPr>
          <w:p w14:paraId="4954ABB2" w14:textId="77777777" w:rsidR="004C45CD" w:rsidRPr="00636169" w:rsidRDefault="004C45CD" w:rsidP="00F449BB">
            <w:pPr>
              <w:jc w:val="center"/>
              <w:rPr>
                <w:sz w:val="16"/>
                <w:szCs w:val="16"/>
              </w:rPr>
            </w:pPr>
          </w:p>
        </w:tc>
      </w:tr>
      <w:tr w:rsidR="004C45CD" w:rsidRPr="00636169" w14:paraId="610BAB52" w14:textId="77777777" w:rsidTr="00F449BB">
        <w:trPr>
          <w:gridAfter w:val="1"/>
          <w:wAfter w:w="1560" w:type="dxa"/>
        </w:trPr>
        <w:tc>
          <w:tcPr>
            <w:tcW w:w="1913" w:type="dxa"/>
            <w:vAlign w:val="center"/>
          </w:tcPr>
          <w:p w14:paraId="014155BB" w14:textId="77777777" w:rsidR="004C45CD" w:rsidRPr="009C7364" w:rsidRDefault="004C45CD" w:rsidP="00F449BB">
            <w:pPr>
              <w:rPr>
                <w:b/>
                <w:bCs/>
                <w:sz w:val="15"/>
                <w:szCs w:val="15"/>
              </w:rPr>
            </w:pPr>
            <w:r w:rsidRPr="009C7364">
              <w:rPr>
                <w:sz w:val="15"/>
                <w:szCs w:val="15"/>
              </w:rPr>
              <w:t>Disability</w:t>
            </w:r>
          </w:p>
        </w:tc>
        <w:tc>
          <w:tcPr>
            <w:tcW w:w="1773" w:type="dxa"/>
            <w:vAlign w:val="center"/>
          </w:tcPr>
          <w:p w14:paraId="78338A9C" w14:textId="7D2345E8" w:rsidR="004C45CD" w:rsidRDefault="00C438BA" w:rsidP="00F449BB">
            <w:pPr>
              <w:jc w:val="center"/>
              <w:rPr>
                <w:sz w:val="15"/>
                <w:szCs w:val="15"/>
              </w:rPr>
            </w:pPr>
            <w:r>
              <w:rPr>
                <w:sz w:val="15"/>
                <w:szCs w:val="15"/>
              </w:rPr>
              <w:t>0.050</w:t>
            </w:r>
            <w:r w:rsidR="00BE26DE">
              <w:rPr>
                <w:sz w:val="15"/>
                <w:szCs w:val="15"/>
              </w:rPr>
              <w:t>**</w:t>
            </w:r>
          </w:p>
          <w:p w14:paraId="2473A1F6" w14:textId="5E07F8C8" w:rsidR="00C438BA" w:rsidRPr="009C7364" w:rsidRDefault="00C438BA" w:rsidP="00F449BB">
            <w:pPr>
              <w:jc w:val="center"/>
              <w:rPr>
                <w:sz w:val="15"/>
                <w:szCs w:val="15"/>
              </w:rPr>
            </w:pPr>
            <w:r>
              <w:rPr>
                <w:sz w:val="15"/>
                <w:szCs w:val="15"/>
              </w:rPr>
              <w:t>(0.016)</w:t>
            </w:r>
          </w:p>
        </w:tc>
        <w:tc>
          <w:tcPr>
            <w:tcW w:w="1984" w:type="dxa"/>
            <w:tcBorders>
              <w:right w:val="single" w:sz="4" w:space="0" w:color="auto"/>
            </w:tcBorders>
            <w:vAlign w:val="center"/>
          </w:tcPr>
          <w:p w14:paraId="15A95C1C" w14:textId="5EF064B7" w:rsidR="004C45CD" w:rsidRPr="00746228" w:rsidRDefault="00072C35" w:rsidP="00F449BB">
            <w:pPr>
              <w:jc w:val="center"/>
              <w:rPr>
                <w:sz w:val="15"/>
                <w:szCs w:val="15"/>
                <w:vertAlign w:val="superscript"/>
              </w:rPr>
            </w:pPr>
            <w:r>
              <w:rPr>
                <w:sz w:val="15"/>
                <w:szCs w:val="15"/>
              </w:rPr>
              <w:t>0.024</w:t>
            </w:r>
            <w:r w:rsidR="00746228">
              <w:rPr>
                <w:sz w:val="15"/>
                <w:szCs w:val="15"/>
                <w:vertAlign w:val="superscript"/>
              </w:rPr>
              <w:t>+</w:t>
            </w:r>
          </w:p>
          <w:p w14:paraId="76EC5E55" w14:textId="49ABC742" w:rsidR="00072C35" w:rsidRPr="006A01DA" w:rsidRDefault="00072C35" w:rsidP="00072C35">
            <w:pPr>
              <w:jc w:val="center"/>
              <w:rPr>
                <w:sz w:val="15"/>
                <w:szCs w:val="15"/>
              </w:rPr>
            </w:pPr>
            <w:r>
              <w:rPr>
                <w:sz w:val="15"/>
                <w:szCs w:val="15"/>
              </w:rPr>
              <w:t>(0.013)</w:t>
            </w:r>
          </w:p>
        </w:tc>
        <w:tc>
          <w:tcPr>
            <w:tcW w:w="1560" w:type="dxa"/>
            <w:tcBorders>
              <w:left w:val="single" w:sz="4" w:space="0" w:color="auto"/>
            </w:tcBorders>
            <w:vAlign w:val="center"/>
          </w:tcPr>
          <w:p w14:paraId="26554F00" w14:textId="2B497E73" w:rsidR="004C45CD" w:rsidRDefault="00BA758F" w:rsidP="00F449BB">
            <w:pPr>
              <w:jc w:val="center"/>
              <w:rPr>
                <w:sz w:val="15"/>
                <w:szCs w:val="15"/>
              </w:rPr>
            </w:pPr>
            <w:r>
              <w:rPr>
                <w:sz w:val="15"/>
                <w:szCs w:val="15"/>
              </w:rPr>
              <w:t>0.111***</w:t>
            </w:r>
          </w:p>
          <w:p w14:paraId="452F0B03" w14:textId="3CC1090B" w:rsidR="00BA758F" w:rsidRPr="006A01DA" w:rsidRDefault="00BA758F" w:rsidP="00F449BB">
            <w:pPr>
              <w:jc w:val="center"/>
              <w:rPr>
                <w:sz w:val="15"/>
                <w:szCs w:val="15"/>
              </w:rPr>
            </w:pPr>
            <w:r>
              <w:rPr>
                <w:sz w:val="15"/>
                <w:szCs w:val="15"/>
              </w:rPr>
              <w:t>(0.022)</w:t>
            </w:r>
          </w:p>
        </w:tc>
        <w:tc>
          <w:tcPr>
            <w:tcW w:w="1557" w:type="dxa"/>
            <w:vAlign w:val="center"/>
          </w:tcPr>
          <w:p w14:paraId="73512436" w14:textId="1259DF96" w:rsidR="004C45CD" w:rsidRDefault="00E2297A" w:rsidP="00F449BB">
            <w:pPr>
              <w:jc w:val="center"/>
              <w:rPr>
                <w:sz w:val="15"/>
                <w:szCs w:val="15"/>
              </w:rPr>
            </w:pPr>
            <w:r>
              <w:rPr>
                <w:sz w:val="15"/>
                <w:szCs w:val="15"/>
              </w:rPr>
              <w:t>0.</w:t>
            </w:r>
            <w:r w:rsidR="00F02025">
              <w:rPr>
                <w:sz w:val="15"/>
                <w:szCs w:val="15"/>
              </w:rPr>
              <w:t>072</w:t>
            </w:r>
            <w:r>
              <w:rPr>
                <w:sz w:val="15"/>
                <w:szCs w:val="15"/>
              </w:rPr>
              <w:t>**</w:t>
            </w:r>
          </w:p>
          <w:p w14:paraId="2B784E55" w14:textId="7E5C5A5D" w:rsidR="00E2297A" w:rsidRPr="006A01DA" w:rsidRDefault="00E2297A" w:rsidP="00F449BB">
            <w:pPr>
              <w:jc w:val="center"/>
              <w:rPr>
                <w:sz w:val="15"/>
                <w:szCs w:val="15"/>
              </w:rPr>
            </w:pPr>
            <w:r>
              <w:rPr>
                <w:sz w:val="15"/>
                <w:szCs w:val="15"/>
              </w:rPr>
              <w:t>(0.</w:t>
            </w:r>
            <w:r w:rsidR="00F02025">
              <w:rPr>
                <w:sz w:val="15"/>
                <w:szCs w:val="15"/>
              </w:rPr>
              <w:t>021</w:t>
            </w:r>
            <w:r>
              <w:rPr>
                <w:sz w:val="15"/>
                <w:szCs w:val="15"/>
              </w:rPr>
              <w:t>)</w:t>
            </w:r>
          </w:p>
        </w:tc>
        <w:tc>
          <w:tcPr>
            <w:tcW w:w="239" w:type="dxa"/>
          </w:tcPr>
          <w:p w14:paraId="4161D3EB" w14:textId="77777777" w:rsidR="004C45CD" w:rsidRPr="00636169" w:rsidRDefault="004C45CD" w:rsidP="00F449BB">
            <w:pPr>
              <w:jc w:val="center"/>
              <w:rPr>
                <w:sz w:val="16"/>
                <w:szCs w:val="16"/>
              </w:rPr>
            </w:pPr>
          </w:p>
        </w:tc>
      </w:tr>
      <w:tr w:rsidR="004C45CD" w:rsidRPr="00636169" w14:paraId="5E037295" w14:textId="77777777" w:rsidTr="00F449BB">
        <w:trPr>
          <w:gridAfter w:val="1"/>
          <w:wAfter w:w="1560" w:type="dxa"/>
        </w:trPr>
        <w:tc>
          <w:tcPr>
            <w:tcW w:w="1913" w:type="dxa"/>
            <w:vAlign w:val="center"/>
          </w:tcPr>
          <w:p w14:paraId="17B85789" w14:textId="77777777" w:rsidR="004C45CD" w:rsidRPr="009C7364" w:rsidRDefault="004C45CD" w:rsidP="00F449BB">
            <w:pPr>
              <w:rPr>
                <w:b/>
                <w:bCs/>
                <w:sz w:val="15"/>
                <w:szCs w:val="15"/>
              </w:rPr>
            </w:pPr>
            <w:r w:rsidRPr="009C7364">
              <w:rPr>
                <w:sz w:val="15"/>
                <w:szCs w:val="15"/>
              </w:rPr>
              <w:t>Not born in Ireland</w:t>
            </w:r>
          </w:p>
        </w:tc>
        <w:tc>
          <w:tcPr>
            <w:tcW w:w="1773" w:type="dxa"/>
            <w:vAlign w:val="center"/>
          </w:tcPr>
          <w:p w14:paraId="1C863EE3" w14:textId="77777777" w:rsidR="004C45CD" w:rsidRDefault="00BE26DE" w:rsidP="00F449BB">
            <w:pPr>
              <w:jc w:val="center"/>
              <w:rPr>
                <w:sz w:val="15"/>
                <w:szCs w:val="15"/>
              </w:rPr>
            </w:pPr>
            <w:r>
              <w:rPr>
                <w:sz w:val="15"/>
                <w:szCs w:val="15"/>
              </w:rPr>
              <w:t>0.009</w:t>
            </w:r>
          </w:p>
          <w:p w14:paraId="088E21C8" w14:textId="508AE38B" w:rsidR="00BE26DE" w:rsidRPr="009C7364" w:rsidRDefault="00BE26DE" w:rsidP="00F449BB">
            <w:pPr>
              <w:jc w:val="center"/>
              <w:rPr>
                <w:sz w:val="15"/>
                <w:szCs w:val="15"/>
              </w:rPr>
            </w:pPr>
            <w:r>
              <w:rPr>
                <w:sz w:val="15"/>
                <w:szCs w:val="15"/>
              </w:rPr>
              <w:t>(0.010)</w:t>
            </w:r>
          </w:p>
        </w:tc>
        <w:tc>
          <w:tcPr>
            <w:tcW w:w="1984" w:type="dxa"/>
            <w:tcBorders>
              <w:right w:val="single" w:sz="4" w:space="0" w:color="auto"/>
            </w:tcBorders>
            <w:vAlign w:val="center"/>
          </w:tcPr>
          <w:p w14:paraId="57D8CADE" w14:textId="77777777" w:rsidR="004C45CD" w:rsidRDefault="00912323" w:rsidP="00F449BB">
            <w:pPr>
              <w:jc w:val="center"/>
              <w:rPr>
                <w:sz w:val="15"/>
                <w:szCs w:val="15"/>
              </w:rPr>
            </w:pPr>
            <w:r>
              <w:rPr>
                <w:sz w:val="15"/>
                <w:szCs w:val="15"/>
              </w:rPr>
              <w:t>0.012</w:t>
            </w:r>
          </w:p>
          <w:p w14:paraId="167C3318" w14:textId="42A40D62" w:rsidR="00912323" w:rsidRPr="006A01DA" w:rsidRDefault="00912323" w:rsidP="00F449BB">
            <w:pPr>
              <w:jc w:val="center"/>
              <w:rPr>
                <w:sz w:val="15"/>
                <w:szCs w:val="15"/>
              </w:rPr>
            </w:pPr>
            <w:r>
              <w:rPr>
                <w:sz w:val="15"/>
                <w:szCs w:val="15"/>
              </w:rPr>
              <w:t>(0.009)</w:t>
            </w:r>
          </w:p>
        </w:tc>
        <w:tc>
          <w:tcPr>
            <w:tcW w:w="1560" w:type="dxa"/>
            <w:tcBorders>
              <w:left w:val="single" w:sz="4" w:space="0" w:color="auto"/>
            </w:tcBorders>
            <w:vAlign w:val="center"/>
          </w:tcPr>
          <w:p w14:paraId="472E8116" w14:textId="77777777" w:rsidR="004C45CD" w:rsidRDefault="00BA758F" w:rsidP="00F449BB">
            <w:pPr>
              <w:jc w:val="center"/>
              <w:rPr>
                <w:sz w:val="15"/>
                <w:szCs w:val="15"/>
              </w:rPr>
            </w:pPr>
            <w:r>
              <w:rPr>
                <w:sz w:val="15"/>
                <w:szCs w:val="15"/>
              </w:rPr>
              <w:t>0.001</w:t>
            </w:r>
          </w:p>
          <w:p w14:paraId="4036C510" w14:textId="22030648" w:rsidR="00BA758F" w:rsidRPr="006A01DA" w:rsidRDefault="00BA758F" w:rsidP="00F449BB">
            <w:pPr>
              <w:jc w:val="center"/>
              <w:rPr>
                <w:sz w:val="15"/>
                <w:szCs w:val="15"/>
              </w:rPr>
            </w:pPr>
            <w:r>
              <w:rPr>
                <w:sz w:val="15"/>
                <w:szCs w:val="15"/>
              </w:rPr>
              <w:t>(0.016)</w:t>
            </w:r>
          </w:p>
        </w:tc>
        <w:tc>
          <w:tcPr>
            <w:tcW w:w="1557" w:type="dxa"/>
            <w:vAlign w:val="center"/>
          </w:tcPr>
          <w:p w14:paraId="39F71013" w14:textId="3CAAAEED" w:rsidR="004C45CD" w:rsidRDefault="00E2297A" w:rsidP="00F449BB">
            <w:pPr>
              <w:jc w:val="center"/>
              <w:rPr>
                <w:sz w:val="15"/>
                <w:szCs w:val="15"/>
              </w:rPr>
            </w:pPr>
            <w:r>
              <w:rPr>
                <w:sz w:val="15"/>
                <w:szCs w:val="15"/>
              </w:rPr>
              <w:t>0.0</w:t>
            </w:r>
            <w:r w:rsidR="00F02025">
              <w:rPr>
                <w:sz w:val="15"/>
                <w:szCs w:val="15"/>
              </w:rPr>
              <w:t>06</w:t>
            </w:r>
          </w:p>
          <w:p w14:paraId="075BF547" w14:textId="5A225A22" w:rsidR="00E2297A" w:rsidRPr="006A01DA" w:rsidRDefault="00E2297A" w:rsidP="00F449BB">
            <w:pPr>
              <w:jc w:val="center"/>
              <w:rPr>
                <w:sz w:val="15"/>
                <w:szCs w:val="15"/>
              </w:rPr>
            </w:pPr>
            <w:r>
              <w:rPr>
                <w:sz w:val="15"/>
                <w:szCs w:val="15"/>
              </w:rPr>
              <w:t>(</w:t>
            </w:r>
            <w:r w:rsidR="00A10579">
              <w:rPr>
                <w:sz w:val="15"/>
                <w:szCs w:val="15"/>
              </w:rPr>
              <w:t>0.</w:t>
            </w:r>
            <w:r w:rsidR="00F02025">
              <w:rPr>
                <w:sz w:val="15"/>
                <w:szCs w:val="15"/>
              </w:rPr>
              <w:t>015</w:t>
            </w:r>
            <w:r w:rsidR="00A10579">
              <w:rPr>
                <w:sz w:val="15"/>
                <w:szCs w:val="15"/>
              </w:rPr>
              <w:t>)</w:t>
            </w:r>
          </w:p>
        </w:tc>
        <w:tc>
          <w:tcPr>
            <w:tcW w:w="239" w:type="dxa"/>
          </w:tcPr>
          <w:p w14:paraId="6DDD4DED" w14:textId="77777777" w:rsidR="004C45CD" w:rsidRPr="00636169" w:rsidRDefault="004C45CD" w:rsidP="00F449BB">
            <w:pPr>
              <w:jc w:val="center"/>
              <w:rPr>
                <w:sz w:val="16"/>
                <w:szCs w:val="16"/>
              </w:rPr>
            </w:pPr>
          </w:p>
        </w:tc>
      </w:tr>
      <w:tr w:rsidR="004C45CD" w:rsidRPr="00636169" w14:paraId="31A29FB8" w14:textId="77777777" w:rsidTr="00F449BB">
        <w:trPr>
          <w:gridAfter w:val="1"/>
          <w:wAfter w:w="1560" w:type="dxa"/>
        </w:trPr>
        <w:tc>
          <w:tcPr>
            <w:tcW w:w="1913" w:type="dxa"/>
            <w:vAlign w:val="center"/>
          </w:tcPr>
          <w:p w14:paraId="454FB723" w14:textId="77777777" w:rsidR="004C45CD" w:rsidRPr="009C7364" w:rsidRDefault="004C45CD" w:rsidP="00F449BB">
            <w:pPr>
              <w:rPr>
                <w:b/>
                <w:bCs/>
                <w:sz w:val="15"/>
                <w:szCs w:val="15"/>
              </w:rPr>
            </w:pPr>
            <w:r w:rsidRPr="009C7364">
              <w:rPr>
                <w:i/>
                <w:iCs/>
                <w:sz w:val="15"/>
                <w:szCs w:val="15"/>
              </w:rPr>
              <w:t>Marital status (Ref: single)</w:t>
            </w:r>
          </w:p>
        </w:tc>
        <w:tc>
          <w:tcPr>
            <w:tcW w:w="1773" w:type="dxa"/>
            <w:vAlign w:val="center"/>
          </w:tcPr>
          <w:p w14:paraId="1E31A0F8" w14:textId="77777777" w:rsidR="004C45CD" w:rsidRPr="009C7364" w:rsidRDefault="004C45CD" w:rsidP="00F449BB">
            <w:pPr>
              <w:jc w:val="center"/>
              <w:rPr>
                <w:sz w:val="15"/>
                <w:szCs w:val="15"/>
              </w:rPr>
            </w:pPr>
          </w:p>
        </w:tc>
        <w:tc>
          <w:tcPr>
            <w:tcW w:w="1984" w:type="dxa"/>
            <w:tcBorders>
              <w:right w:val="single" w:sz="4" w:space="0" w:color="auto"/>
            </w:tcBorders>
            <w:vAlign w:val="center"/>
          </w:tcPr>
          <w:p w14:paraId="70F9091B" w14:textId="77777777" w:rsidR="004C45CD" w:rsidRPr="00636169" w:rsidRDefault="004C45CD" w:rsidP="00F449BB">
            <w:pPr>
              <w:jc w:val="center"/>
              <w:rPr>
                <w:sz w:val="15"/>
                <w:szCs w:val="15"/>
              </w:rPr>
            </w:pPr>
          </w:p>
        </w:tc>
        <w:tc>
          <w:tcPr>
            <w:tcW w:w="1560" w:type="dxa"/>
            <w:tcBorders>
              <w:left w:val="single" w:sz="4" w:space="0" w:color="auto"/>
            </w:tcBorders>
            <w:vAlign w:val="center"/>
          </w:tcPr>
          <w:p w14:paraId="1CDF47CC" w14:textId="77777777" w:rsidR="004C45CD" w:rsidRPr="00636169" w:rsidRDefault="004C45CD" w:rsidP="00F449BB">
            <w:pPr>
              <w:jc w:val="center"/>
              <w:rPr>
                <w:sz w:val="15"/>
                <w:szCs w:val="15"/>
              </w:rPr>
            </w:pPr>
          </w:p>
        </w:tc>
        <w:tc>
          <w:tcPr>
            <w:tcW w:w="1557" w:type="dxa"/>
            <w:vAlign w:val="center"/>
          </w:tcPr>
          <w:p w14:paraId="3CD221AB" w14:textId="77777777" w:rsidR="004C45CD" w:rsidRPr="00636169" w:rsidRDefault="004C45CD" w:rsidP="00F449BB">
            <w:pPr>
              <w:jc w:val="center"/>
              <w:rPr>
                <w:sz w:val="15"/>
                <w:szCs w:val="15"/>
              </w:rPr>
            </w:pPr>
          </w:p>
        </w:tc>
        <w:tc>
          <w:tcPr>
            <w:tcW w:w="239" w:type="dxa"/>
          </w:tcPr>
          <w:p w14:paraId="64627EAD" w14:textId="77777777" w:rsidR="004C45CD" w:rsidRPr="00636169" w:rsidRDefault="004C45CD" w:rsidP="00F449BB">
            <w:pPr>
              <w:jc w:val="center"/>
              <w:rPr>
                <w:sz w:val="16"/>
                <w:szCs w:val="16"/>
              </w:rPr>
            </w:pPr>
          </w:p>
        </w:tc>
      </w:tr>
      <w:tr w:rsidR="004C45CD" w:rsidRPr="00636169" w14:paraId="29D56760" w14:textId="77777777" w:rsidTr="00F449BB">
        <w:trPr>
          <w:gridAfter w:val="1"/>
          <w:wAfter w:w="1560" w:type="dxa"/>
        </w:trPr>
        <w:tc>
          <w:tcPr>
            <w:tcW w:w="1913" w:type="dxa"/>
            <w:vAlign w:val="center"/>
          </w:tcPr>
          <w:p w14:paraId="46D62CC3" w14:textId="77777777" w:rsidR="004C45CD" w:rsidRPr="009C7364" w:rsidRDefault="004C45CD" w:rsidP="00F449BB">
            <w:pPr>
              <w:rPr>
                <w:b/>
                <w:bCs/>
                <w:sz w:val="15"/>
                <w:szCs w:val="15"/>
              </w:rPr>
            </w:pPr>
            <w:r w:rsidRPr="009C7364">
              <w:rPr>
                <w:sz w:val="15"/>
                <w:szCs w:val="15"/>
              </w:rPr>
              <w:t xml:space="preserve"> Married/</w:t>
            </w:r>
            <w:r>
              <w:rPr>
                <w:sz w:val="15"/>
                <w:szCs w:val="15"/>
              </w:rPr>
              <w:t>c</w:t>
            </w:r>
            <w:r w:rsidRPr="009C7364">
              <w:rPr>
                <w:sz w:val="15"/>
                <w:szCs w:val="15"/>
              </w:rPr>
              <w:t>ivil partnership</w:t>
            </w:r>
          </w:p>
        </w:tc>
        <w:tc>
          <w:tcPr>
            <w:tcW w:w="1773" w:type="dxa"/>
            <w:vAlign w:val="center"/>
          </w:tcPr>
          <w:p w14:paraId="6DC4DC43" w14:textId="02BEDF32" w:rsidR="004C45CD" w:rsidRDefault="00BE26DE" w:rsidP="00F449BB">
            <w:pPr>
              <w:jc w:val="center"/>
              <w:rPr>
                <w:sz w:val="15"/>
                <w:szCs w:val="15"/>
              </w:rPr>
            </w:pPr>
            <w:r>
              <w:rPr>
                <w:sz w:val="15"/>
                <w:szCs w:val="15"/>
              </w:rPr>
              <w:t>-0.024*</w:t>
            </w:r>
          </w:p>
          <w:p w14:paraId="470B0E8A" w14:textId="1E2EC16B" w:rsidR="00BE26DE" w:rsidRPr="009C7364" w:rsidRDefault="00BE26DE" w:rsidP="00F449BB">
            <w:pPr>
              <w:jc w:val="center"/>
              <w:rPr>
                <w:sz w:val="15"/>
                <w:szCs w:val="15"/>
              </w:rPr>
            </w:pPr>
            <w:r>
              <w:rPr>
                <w:sz w:val="15"/>
                <w:szCs w:val="15"/>
              </w:rPr>
              <w:t>(0.010)</w:t>
            </w:r>
          </w:p>
        </w:tc>
        <w:tc>
          <w:tcPr>
            <w:tcW w:w="1984" w:type="dxa"/>
            <w:tcBorders>
              <w:right w:val="single" w:sz="4" w:space="0" w:color="auto"/>
            </w:tcBorders>
            <w:vAlign w:val="center"/>
          </w:tcPr>
          <w:p w14:paraId="4C4B0D65" w14:textId="6AD0B985" w:rsidR="004C45CD" w:rsidRPr="00B8241A" w:rsidRDefault="00B8241A" w:rsidP="00F449BB">
            <w:pPr>
              <w:jc w:val="center"/>
              <w:rPr>
                <w:sz w:val="15"/>
                <w:szCs w:val="15"/>
                <w:vertAlign w:val="superscript"/>
              </w:rPr>
            </w:pPr>
            <w:r>
              <w:rPr>
                <w:sz w:val="15"/>
                <w:szCs w:val="15"/>
              </w:rPr>
              <w:t>-0.016</w:t>
            </w:r>
            <w:r>
              <w:rPr>
                <w:sz w:val="15"/>
                <w:szCs w:val="15"/>
                <w:vertAlign w:val="superscript"/>
              </w:rPr>
              <w:t>+</w:t>
            </w:r>
          </w:p>
          <w:p w14:paraId="553FD62D" w14:textId="228F3428" w:rsidR="00B8241A" w:rsidRPr="00636169" w:rsidRDefault="00B8241A" w:rsidP="00F449BB">
            <w:pPr>
              <w:jc w:val="center"/>
              <w:rPr>
                <w:sz w:val="15"/>
                <w:szCs w:val="15"/>
              </w:rPr>
            </w:pPr>
            <w:r>
              <w:rPr>
                <w:sz w:val="15"/>
                <w:szCs w:val="15"/>
              </w:rPr>
              <w:t>(0.009)</w:t>
            </w:r>
          </w:p>
        </w:tc>
        <w:tc>
          <w:tcPr>
            <w:tcW w:w="1560" w:type="dxa"/>
            <w:tcBorders>
              <w:left w:val="single" w:sz="4" w:space="0" w:color="auto"/>
            </w:tcBorders>
            <w:vAlign w:val="center"/>
          </w:tcPr>
          <w:p w14:paraId="75C50CD2" w14:textId="2C067FC5" w:rsidR="004C45CD" w:rsidRDefault="004A6387" w:rsidP="00F449BB">
            <w:pPr>
              <w:jc w:val="center"/>
              <w:rPr>
                <w:sz w:val="15"/>
                <w:szCs w:val="15"/>
              </w:rPr>
            </w:pPr>
            <w:r>
              <w:rPr>
                <w:sz w:val="15"/>
                <w:szCs w:val="15"/>
              </w:rPr>
              <w:t>-0.059***</w:t>
            </w:r>
          </w:p>
          <w:p w14:paraId="173D9A50" w14:textId="77717F48" w:rsidR="004A6387" w:rsidRPr="00636169" w:rsidRDefault="004A6387" w:rsidP="00F449BB">
            <w:pPr>
              <w:jc w:val="center"/>
              <w:rPr>
                <w:sz w:val="15"/>
                <w:szCs w:val="15"/>
              </w:rPr>
            </w:pPr>
            <w:r>
              <w:rPr>
                <w:sz w:val="15"/>
                <w:szCs w:val="15"/>
              </w:rPr>
              <w:t>(0.017)</w:t>
            </w:r>
          </w:p>
        </w:tc>
        <w:tc>
          <w:tcPr>
            <w:tcW w:w="1557" w:type="dxa"/>
            <w:vAlign w:val="center"/>
          </w:tcPr>
          <w:p w14:paraId="53FF9F74" w14:textId="3B0E9C80" w:rsidR="004C45CD" w:rsidRDefault="00A10579" w:rsidP="00F449BB">
            <w:pPr>
              <w:jc w:val="center"/>
              <w:rPr>
                <w:sz w:val="15"/>
                <w:szCs w:val="15"/>
              </w:rPr>
            </w:pPr>
            <w:r>
              <w:rPr>
                <w:sz w:val="15"/>
                <w:szCs w:val="15"/>
              </w:rPr>
              <w:t>-0.</w:t>
            </w:r>
            <w:r w:rsidR="000C4511">
              <w:rPr>
                <w:sz w:val="15"/>
                <w:szCs w:val="15"/>
              </w:rPr>
              <w:t>045</w:t>
            </w:r>
            <w:r w:rsidR="00A02EE3">
              <w:rPr>
                <w:sz w:val="15"/>
                <w:szCs w:val="15"/>
              </w:rPr>
              <w:t>**</w:t>
            </w:r>
          </w:p>
          <w:p w14:paraId="41AA675E" w14:textId="2B98EE47" w:rsidR="00A10579" w:rsidRPr="00636169" w:rsidRDefault="00A10579" w:rsidP="00F449BB">
            <w:pPr>
              <w:jc w:val="center"/>
              <w:rPr>
                <w:sz w:val="15"/>
                <w:szCs w:val="15"/>
              </w:rPr>
            </w:pPr>
            <w:r>
              <w:rPr>
                <w:sz w:val="15"/>
                <w:szCs w:val="15"/>
              </w:rPr>
              <w:t>(0.</w:t>
            </w:r>
            <w:r w:rsidR="000C4511">
              <w:rPr>
                <w:sz w:val="15"/>
                <w:szCs w:val="15"/>
              </w:rPr>
              <w:t>016</w:t>
            </w:r>
            <w:r>
              <w:rPr>
                <w:sz w:val="15"/>
                <w:szCs w:val="15"/>
              </w:rPr>
              <w:t>)</w:t>
            </w:r>
          </w:p>
        </w:tc>
        <w:tc>
          <w:tcPr>
            <w:tcW w:w="239" w:type="dxa"/>
          </w:tcPr>
          <w:p w14:paraId="414C5E96" w14:textId="77777777" w:rsidR="004C45CD" w:rsidRPr="00636169" w:rsidRDefault="004C45CD" w:rsidP="00F449BB">
            <w:pPr>
              <w:jc w:val="center"/>
              <w:rPr>
                <w:sz w:val="16"/>
                <w:szCs w:val="16"/>
              </w:rPr>
            </w:pPr>
          </w:p>
        </w:tc>
      </w:tr>
      <w:tr w:rsidR="004C45CD" w:rsidRPr="00636169" w14:paraId="280F63AD" w14:textId="77777777" w:rsidTr="00F449BB">
        <w:trPr>
          <w:gridAfter w:val="1"/>
          <w:wAfter w:w="1560" w:type="dxa"/>
        </w:trPr>
        <w:tc>
          <w:tcPr>
            <w:tcW w:w="1913" w:type="dxa"/>
            <w:vAlign w:val="center"/>
          </w:tcPr>
          <w:p w14:paraId="7AEBA144" w14:textId="77777777" w:rsidR="004C45CD" w:rsidRPr="009C7364" w:rsidRDefault="004C45CD" w:rsidP="00F449BB">
            <w:pPr>
              <w:rPr>
                <w:b/>
                <w:bCs/>
                <w:sz w:val="15"/>
                <w:szCs w:val="15"/>
              </w:rPr>
            </w:pPr>
            <w:r w:rsidRPr="009C7364">
              <w:rPr>
                <w:sz w:val="15"/>
                <w:szCs w:val="15"/>
              </w:rPr>
              <w:t xml:space="preserve"> Separated/divorced</w:t>
            </w:r>
          </w:p>
        </w:tc>
        <w:tc>
          <w:tcPr>
            <w:tcW w:w="1773" w:type="dxa"/>
            <w:vAlign w:val="center"/>
          </w:tcPr>
          <w:p w14:paraId="4555CDE8" w14:textId="77777777" w:rsidR="004C45CD" w:rsidRDefault="00BE26DE" w:rsidP="00F449BB">
            <w:pPr>
              <w:jc w:val="center"/>
              <w:rPr>
                <w:sz w:val="15"/>
                <w:szCs w:val="15"/>
              </w:rPr>
            </w:pPr>
            <w:r>
              <w:rPr>
                <w:sz w:val="15"/>
                <w:szCs w:val="15"/>
              </w:rPr>
              <w:t>0.0003</w:t>
            </w:r>
          </w:p>
          <w:p w14:paraId="7C8EC3F5" w14:textId="7DC35E78" w:rsidR="00BE26DE" w:rsidRPr="009C7364" w:rsidRDefault="00BE26DE" w:rsidP="00F449BB">
            <w:pPr>
              <w:jc w:val="center"/>
              <w:rPr>
                <w:sz w:val="15"/>
                <w:szCs w:val="15"/>
              </w:rPr>
            </w:pPr>
            <w:r>
              <w:rPr>
                <w:sz w:val="15"/>
                <w:szCs w:val="15"/>
              </w:rPr>
              <w:t>(0.021)</w:t>
            </w:r>
          </w:p>
        </w:tc>
        <w:tc>
          <w:tcPr>
            <w:tcW w:w="1984" w:type="dxa"/>
            <w:tcBorders>
              <w:right w:val="single" w:sz="4" w:space="0" w:color="auto"/>
            </w:tcBorders>
            <w:vAlign w:val="center"/>
          </w:tcPr>
          <w:p w14:paraId="67E0A6C2" w14:textId="77777777" w:rsidR="004C45CD" w:rsidRDefault="00B8241A" w:rsidP="00F449BB">
            <w:pPr>
              <w:jc w:val="center"/>
              <w:rPr>
                <w:sz w:val="15"/>
                <w:szCs w:val="15"/>
              </w:rPr>
            </w:pPr>
            <w:r>
              <w:rPr>
                <w:sz w:val="15"/>
                <w:szCs w:val="15"/>
              </w:rPr>
              <w:t>0.010</w:t>
            </w:r>
          </w:p>
          <w:p w14:paraId="0B8A8285" w14:textId="52EF8670" w:rsidR="00B8241A" w:rsidRPr="00636169" w:rsidRDefault="00B8241A" w:rsidP="00F449BB">
            <w:pPr>
              <w:jc w:val="center"/>
              <w:rPr>
                <w:sz w:val="15"/>
                <w:szCs w:val="15"/>
              </w:rPr>
            </w:pPr>
            <w:r>
              <w:rPr>
                <w:sz w:val="15"/>
                <w:szCs w:val="15"/>
              </w:rPr>
              <w:t>(0.020)</w:t>
            </w:r>
          </w:p>
        </w:tc>
        <w:tc>
          <w:tcPr>
            <w:tcW w:w="1560" w:type="dxa"/>
            <w:tcBorders>
              <w:left w:val="single" w:sz="4" w:space="0" w:color="auto"/>
            </w:tcBorders>
            <w:vAlign w:val="center"/>
          </w:tcPr>
          <w:p w14:paraId="75D9ACD9" w14:textId="77777777" w:rsidR="004C45CD" w:rsidRDefault="004A6387" w:rsidP="00F449BB">
            <w:pPr>
              <w:jc w:val="center"/>
              <w:rPr>
                <w:sz w:val="15"/>
                <w:szCs w:val="15"/>
              </w:rPr>
            </w:pPr>
            <w:r>
              <w:rPr>
                <w:sz w:val="15"/>
                <w:szCs w:val="15"/>
              </w:rPr>
              <w:t>-0.005</w:t>
            </w:r>
          </w:p>
          <w:p w14:paraId="1EC25F9E" w14:textId="6DA0A9A5" w:rsidR="004A6387" w:rsidRPr="00636169" w:rsidRDefault="004A6387" w:rsidP="00F449BB">
            <w:pPr>
              <w:jc w:val="center"/>
              <w:rPr>
                <w:sz w:val="15"/>
                <w:szCs w:val="15"/>
              </w:rPr>
            </w:pPr>
            <w:r>
              <w:rPr>
                <w:sz w:val="15"/>
                <w:szCs w:val="15"/>
              </w:rPr>
              <w:t>(0.03</w:t>
            </w:r>
            <w:r w:rsidR="001018AB">
              <w:rPr>
                <w:sz w:val="15"/>
                <w:szCs w:val="15"/>
              </w:rPr>
              <w:t>4)</w:t>
            </w:r>
          </w:p>
        </w:tc>
        <w:tc>
          <w:tcPr>
            <w:tcW w:w="1557" w:type="dxa"/>
            <w:vAlign w:val="center"/>
          </w:tcPr>
          <w:p w14:paraId="46E4DB84" w14:textId="1FA8646C" w:rsidR="004C45CD" w:rsidRDefault="00A10579" w:rsidP="00F449BB">
            <w:pPr>
              <w:jc w:val="center"/>
              <w:rPr>
                <w:sz w:val="15"/>
                <w:szCs w:val="15"/>
              </w:rPr>
            </w:pPr>
            <w:r>
              <w:rPr>
                <w:sz w:val="15"/>
                <w:szCs w:val="15"/>
              </w:rPr>
              <w:t>0.0</w:t>
            </w:r>
            <w:r w:rsidR="000C4511">
              <w:rPr>
                <w:sz w:val="15"/>
                <w:szCs w:val="15"/>
              </w:rPr>
              <w:t>11</w:t>
            </w:r>
          </w:p>
          <w:p w14:paraId="676D22A3" w14:textId="2E5BE642" w:rsidR="00A10579" w:rsidRPr="00636169" w:rsidRDefault="00A10579" w:rsidP="00F449BB">
            <w:pPr>
              <w:jc w:val="center"/>
              <w:rPr>
                <w:sz w:val="15"/>
                <w:szCs w:val="15"/>
              </w:rPr>
            </w:pPr>
            <w:r>
              <w:rPr>
                <w:sz w:val="15"/>
                <w:szCs w:val="15"/>
              </w:rPr>
              <w:t>(0.</w:t>
            </w:r>
            <w:r w:rsidR="000C4511">
              <w:rPr>
                <w:sz w:val="15"/>
                <w:szCs w:val="15"/>
              </w:rPr>
              <w:t>032</w:t>
            </w:r>
            <w:r>
              <w:rPr>
                <w:sz w:val="15"/>
                <w:szCs w:val="15"/>
              </w:rPr>
              <w:t>)</w:t>
            </w:r>
          </w:p>
        </w:tc>
        <w:tc>
          <w:tcPr>
            <w:tcW w:w="239" w:type="dxa"/>
          </w:tcPr>
          <w:p w14:paraId="60D6B5F5" w14:textId="77777777" w:rsidR="004C45CD" w:rsidRPr="00636169" w:rsidRDefault="004C45CD" w:rsidP="00F449BB">
            <w:pPr>
              <w:jc w:val="center"/>
              <w:rPr>
                <w:sz w:val="16"/>
                <w:szCs w:val="16"/>
              </w:rPr>
            </w:pPr>
          </w:p>
        </w:tc>
      </w:tr>
      <w:tr w:rsidR="004C45CD" w:rsidRPr="00636169" w14:paraId="5E312EE0" w14:textId="77777777" w:rsidTr="00F449BB">
        <w:trPr>
          <w:gridAfter w:val="1"/>
          <w:wAfter w:w="1560" w:type="dxa"/>
        </w:trPr>
        <w:tc>
          <w:tcPr>
            <w:tcW w:w="1913" w:type="dxa"/>
            <w:vAlign w:val="center"/>
          </w:tcPr>
          <w:p w14:paraId="716FBE5C" w14:textId="77777777" w:rsidR="004C45CD" w:rsidRPr="009C7364" w:rsidRDefault="004C45CD" w:rsidP="00F449BB">
            <w:pPr>
              <w:rPr>
                <w:b/>
                <w:bCs/>
                <w:sz w:val="15"/>
                <w:szCs w:val="15"/>
              </w:rPr>
            </w:pPr>
            <w:r w:rsidRPr="009C7364">
              <w:rPr>
                <w:sz w:val="15"/>
                <w:szCs w:val="15"/>
              </w:rPr>
              <w:t xml:space="preserve"> Widowed</w:t>
            </w:r>
          </w:p>
        </w:tc>
        <w:tc>
          <w:tcPr>
            <w:tcW w:w="1773" w:type="dxa"/>
            <w:vAlign w:val="center"/>
          </w:tcPr>
          <w:p w14:paraId="465793BA" w14:textId="77777777" w:rsidR="004C45CD" w:rsidRDefault="00841487" w:rsidP="00F449BB">
            <w:pPr>
              <w:jc w:val="center"/>
              <w:rPr>
                <w:sz w:val="15"/>
                <w:szCs w:val="15"/>
              </w:rPr>
            </w:pPr>
            <w:r>
              <w:rPr>
                <w:sz w:val="15"/>
                <w:szCs w:val="15"/>
              </w:rPr>
              <w:t>-0.026</w:t>
            </w:r>
          </w:p>
          <w:p w14:paraId="3C652527" w14:textId="0010A16E" w:rsidR="00841487" w:rsidRPr="009C7364" w:rsidRDefault="00841487" w:rsidP="00F449BB">
            <w:pPr>
              <w:jc w:val="center"/>
              <w:rPr>
                <w:sz w:val="15"/>
                <w:szCs w:val="15"/>
              </w:rPr>
            </w:pPr>
            <w:r>
              <w:rPr>
                <w:sz w:val="15"/>
                <w:szCs w:val="15"/>
              </w:rPr>
              <w:t>(0.044)</w:t>
            </w:r>
          </w:p>
        </w:tc>
        <w:tc>
          <w:tcPr>
            <w:tcW w:w="1984" w:type="dxa"/>
            <w:tcBorders>
              <w:right w:val="single" w:sz="4" w:space="0" w:color="auto"/>
            </w:tcBorders>
            <w:vAlign w:val="center"/>
          </w:tcPr>
          <w:p w14:paraId="027DF9CB" w14:textId="77777777" w:rsidR="004C45CD" w:rsidRDefault="00746228" w:rsidP="00F449BB">
            <w:pPr>
              <w:jc w:val="center"/>
              <w:rPr>
                <w:sz w:val="15"/>
                <w:szCs w:val="15"/>
              </w:rPr>
            </w:pPr>
            <w:r>
              <w:rPr>
                <w:sz w:val="15"/>
                <w:szCs w:val="15"/>
              </w:rPr>
              <w:t>-0.012</w:t>
            </w:r>
          </w:p>
          <w:p w14:paraId="69CDF798" w14:textId="2E4D258B" w:rsidR="00746228" w:rsidRPr="00636169" w:rsidRDefault="00746228" w:rsidP="00F449BB">
            <w:pPr>
              <w:jc w:val="center"/>
              <w:rPr>
                <w:sz w:val="15"/>
                <w:szCs w:val="15"/>
              </w:rPr>
            </w:pPr>
            <w:r>
              <w:rPr>
                <w:sz w:val="15"/>
                <w:szCs w:val="15"/>
              </w:rPr>
              <w:t>(0.060)</w:t>
            </w:r>
          </w:p>
        </w:tc>
        <w:tc>
          <w:tcPr>
            <w:tcW w:w="1560" w:type="dxa"/>
            <w:tcBorders>
              <w:left w:val="single" w:sz="4" w:space="0" w:color="auto"/>
            </w:tcBorders>
            <w:vAlign w:val="center"/>
          </w:tcPr>
          <w:p w14:paraId="5E75EB04" w14:textId="77777777" w:rsidR="004C45CD" w:rsidRDefault="001018AB" w:rsidP="00F449BB">
            <w:pPr>
              <w:jc w:val="center"/>
              <w:rPr>
                <w:sz w:val="15"/>
                <w:szCs w:val="15"/>
              </w:rPr>
            </w:pPr>
            <w:r>
              <w:rPr>
                <w:sz w:val="15"/>
                <w:szCs w:val="15"/>
              </w:rPr>
              <w:t>0.034</w:t>
            </w:r>
          </w:p>
          <w:p w14:paraId="30A72732" w14:textId="1C2B989C" w:rsidR="001018AB" w:rsidRPr="00636169" w:rsidRDefault="001018AB" w:rsidP="00F449BB">
            <w:pPr>
              <w:jc w:val="center"/>
              <w:rPr>
                <w:sz w:val="15"/>
                <w:szCs w:val="15"/>
              </w:rPr>
            </w:pPr>
            <w:r>
              <w:rPr>
                <w:sz w:val="15"/>
                <w:szCs w:val="15"/>
              </w:rPr>
              <w:t>(0.088)</w:t>
            </w:r>
          </w:p>
        </w:tc>
        <w:tc>
          <w:tcPr>
            <w:tcW w:w="1557" w:type="dxa"/>
            <w:vAlign w:val="center"/>
          </w:tcPr>
          <w:p w14:paraId="06719014" w14:textId="7C9B53D2" w:rsidR="004C45CD" w:rsidRDefault="00A10579" w:rsidP="00F449BB">
            <w:pPr>
              <w:jc w:val="center"/>
              <w:rPr>
                <w:sz w:val="15"/>
                <w:szCs w:val="15"/>
              </w:rPr>
            </w:pPr>
            <w:r>
              <w:rPr>
                <w:sz w:val="15"/>
                <w:szCs w:val="15"/>
              </w:rPr>
              <w:t>0.</w:t>
            </w:r>
            <w:r w:rsidR="00A63070">
              <w:rPr>
                <w:sz w:val="15"/>
                <w:szCs w:val="15"/>
              </w:rPr>
              <w:t>074</w:t>
            </w:r>
          </w:p>
          <w:p w14:paraId="25E66473" w14:textId="69FB5AE9" w:rsidR="00A10579" w:rsidRPr="00636169" w:rsidRDefault="00A10579" w:rsidP="00F449BB">
            <w:pPr>
              <w:jc w:val="center"/>
              <w:rPr>
                <w:sz w:val="15"/>
                <w:szCs w:val="15"/>
              </w:rPr>
            </w:pPr>
            <w:r>
              <w:rPr>
                <w:sz w:val="15"/>
                <w:szCs w:val="15"/>
              </w:rPr>
              <w:t>(0.</w:t>
            </w:r>
            <w:r w:rsidR="00A63070">
              <w:rPr>
                <w:sz w:val="15"/>
                <w:szCs w:val="15"/>
              </w:rPr>
              <w:t>086</w:t>
            </w:r>
            <w:r>
              <w:rPr>
                <w:sz w:val="15"/>
                <w:szCs w:val="15"/>
              </w:rPr>
              <w:t>)</w:t>
            </w:r>
          </w:p>
        </w:tc>
        <w:tc>
          <w:tcPr>
            <w:tcW w:w="239" w:type="dxa"/>
          </w:tcPr>
          <w:p w14:paraId="12A850D1" w14:textId="77777777" w:rsidR="004C45CD" w:rsidRPr="00636169" w:rsidRDefault="004C45CD" w:rsidP="00F449BB">
            <w:pPr>
              <w:jc w:val="center"/>
              <w:rPr>
                <w:sz w:val="16"/>
                <w:szCs w:val="16"/>
              </w:rPr>
            </w:pPr>
          </w:p>
        </w:tc>
      </w:tr>
      <w:tr w:rsidR="004C45CD" w:rsidRPr="00636169" w14:paraId="7856F779" w14:textId="77777777" w:rsidTr="00F449BB">
        <w:trPr>
          <w:gridAfter w:val="1"/>
          <w:wAfter w:w="1560" w:type="dxa"/>
        </w:trPr>
        <w:tc>
          <w:tcPr>
            <w:tcW w:w="1913" w:type="dxa"/>
            <w:vAlign w:val="center"/>
          </w:tcPr>
          <w:p w14:paraId="1FE0361F" w14:textId="77777777" w:rsidR="004C45CD" w:rsidRPr="009C7364" w:rsidRDefault="004C45CD" w:rsidP="00F449BB">
            <w:pPr>
              <w:rPr>
                <w:b/>
                <w:bCs/>
                <w:sz w:val="15"/>
                <w:szCs w:val="15"/>
              </w:rPr>
            </w:pPr>
            <w:r w:rsidRPr="009C7364">
              <w:rPr>
                <w:sz w:val="15"/>
                <w:szCs w:val="15"/>
              </w:rPr>
              <w:t>Has children under 18</w:t>
            </w:r>
          </w:p>
        </w:tc>
        <w:tc>
          <w:tcPr>
            <w:tcW w:w="1773" w:type="dxa"/>
            <w:vAlign w:val="center"/>
          </w:tcPr>
          <w:p w14:paraId="1974B2C1" w14:textId="77777777" w:rsidR="004C45CD" w:rsidRDefault="00841487" w:rsidP="00F449BB">
            <w:pPr>
              <w:jc w:val="center"/>
              <w:rPr>
                <w:sz w:val="15"/>
                <w:szCs w:val="15"/>
              </w:rPr>
            </w:pPr>
            <w:r>
              <w:rPr>
                <w:sz w:val="15"/>
                <w:szCs w:val="15"/>
              </w:rPr>
              <w:t>-0.004</w:t>
            </w:r>
          </w:p>
          <w:p w14:paraId="5F1AA38D" w14:textId="4A6FCD6C" w:rsidR="00841487" w:rsidRPr="009C7364" w:rsidRDefault="00841487" w:rsidP="00F449BB">
            <w:pPr>
              <w:jc w:val="center"/>
              <w:rPr>
                <w:sz w:val="15"/>
                <w:szCs w:val="15"/>
              </w:rPr>
            </w:pPr>
            <w:r>
              <w:rPr>
                <w:sz w:val="15"/>
                <w:szCs w:val="15"/>
              </w:rPr>
              <w:t>(0.009)</w:t>
            </w:r>
          </w:p>
        </w:tc>
        <w:tc>
          <w:tcPr>
            <w:tcW w:w="1984" w:type="dxa"/>
            <w:tcBorders>
              <w:right w:val="single" w:sz="4" w:space="0" w:color="auto"/>
            </w:tcBorders>
            <w:vAlign w:val="center"/>
          </w:tcPr>
          <w:p w14:paraId="7A5E0D01" w14:textId="77777777" w:rsidR="004C45CD" w:rsidRDefault="005327EF" w:rsidP="00F449BB">
            <w:pPr>
              <w:jc w:val="center"/>
              <w:rPr>
                <w:sz w:val="15"/>
                <w:szCs w:val="15"/>
              </w:rPr>
            </w:pPr>
            <w:r>
              <w:rPr>
                <w:sz w:val="15"/>
                <w:szCs w:val="15"/>
              </w:rPr>
              <w:t>0.0003</w:t>
            </w:r>
          </w:p>
          <w:p w14:paraId="7757458C" w14:textId="38C5C04E" w:rsidR="005327EF" w:rsidRPr="00636169" w:rsidRDefault="005327EF" w:rsidP="00F449BB">
            <w:pPr>
              <w:jc w:val="center"/>
              <w:rPr>
                <w:sz w:val="15"/>
                <w:szCs w:val="15"/>
              </w:rPr>
            </w:pPr>
            <w:r>
              <w:rPr>
                <w:sz w:val="15"/>
                <w:szCs w:val="15"/>
              </w:rPr>
              <w:t>(0.009)</w:t>
            </w:r>
          </w:p>
        </w:tc>
        <w:tc>
          <w:tcPr>
            <w:tcW w:w="1560" w:type="dxa"/>
            <w:tcBorders>
              <w:left w:val="single" w:sz="4" w:space="0" w:color="auto"/>
            </w:tcBorders>
            <w:vAlign w:val="center"/>
          </w:tcPr>
          <w:p w14:paraId="4BC7DD34" w14:textId="61D77ABE" w:rsidR="004C45CD" w:rsidRDefault="001018AB" w:rsidP="00F449BB">
            <w:pPr>
              <w:jc w:val="center"/>
              <w:rPr>
                <w:sz w:val="15"/>
                <w:szCs w:val="15"/>
              </w:rPr>
            </w:pPr>
            <w:r>
              <w:rPr>
                <w:sz w:val="15"/>
                <w:szCs w:val="15"/>
              </w:rPr>
              <w:t>-0.03</w:t>
            </w:r>
            <w:r w:rsidR="009C3147">
              <w:rPr>
                <w:sz w:val="15"/>
                <w:szCs w:val="15"/>
              </w:rPr>
              <w:t>4*</w:t>
            </w:r>
          </w:p>
          <w:p w14:paraId="1CE361CA" w14:textId="632D7467" w:rsidR="009C3147" w:rsidRPr="00636169" w:rsidRDefault="009C3147" w:rsidP="00F449BB">
            <w:pPr>
              <w:jc w:val="center"/>
              <w:rPr>
                <w:sz w:val="15"/>
                <w:szCs w:val="15"/>
              </w:rPr>
            </w:pPr>
            <w:r>
              <w:rPr>
                <w:sz w:val="15"/>
                <w:szCs w:val="15"/>
              </w:rPr>
              <w:t>(0.016)</w:t>
            </w:r>
          </w:p>
        </w:tc>
        <w:tc>
          <w:tcPr>
            <w:tcW w:w="1557" w:type="dxa"/>
            <w:vAlign w:val="center"/>
          </w:tcPr>
          <w:p w14:paraId="1999FCA8" w14:textId="59BDD275" w:rsidR="004C45CD" w:rsidRPr="00F91098" w:rsidRDefault="00A02EE3" w:rsidP="00F449BB">
            <w:pPr>
              <w:jc w:val="center"/>
              <w:rPr>
                <w:sz w:val="15"/>
                <w:szCs w:val="15"/>
                <w:vertAlign w:val="superscript"/>
              </w:rPr>
            </w:pPr>
            <w:r>
              <w:rPr>
                <w:sz w:val="15"/>
                <w:szCs w:val="15"/>
              </w:rPr>
              <w:t>-0.</w:t>
            </w:r>
            <w:r w:rsidR="00A63070">
              <w:rPr>
                <w:sz w:val="15"/>
                <w:szCs w:val="15"/>
              </w:rPr>
              <w:t>028</w:t>
            </w:r>
            <w:r w:rsidR="00F91098">
              <w:rPr>
                <w:sz w:val="15"/>
                <w:szCs w:val="15"/>
                <w:vertAlign w:val="superscript"/>
              </w:rPr>
              <w:t>+</w:t>
            </w:r>
          </w:p>
          <w:p w14:paraId="46A9EB80" w14:textId="002C404C" w:rsidR="00A02EE3" w:rsidRPr="00636169" w:rsidRDefault="00A02EE3" w:rsidP="00F449BB">
            <w:pPr>
              <w:jc w:val="center"/>
              <w:rPr>
                <w:sz w:val="15"/>
                <w:szCs w:val="15"/>
              </w:rPr>
            </w:pPr>
            <w:r>
              <w:rPr>
                <w:sz w:val="15"/>
                <w:szCs w:val="15"/>
              </w:rPr>
              <w:t>(0.</w:t>
            </w:r>
            <w:r w:rsidR="00A63070">
              <w:rPr>
                <w:sz w:val="15"/>
                <w:szCs w:val="15"/>
              </w:rPr>
              <w:t>016)</w:t>
            </w:r>
          </w:p>
        </w:tc>
        <w:tc>
          <w:tcPr>
            <w:tcW w:w="239" w:type="dxa"/>
          </w:tcPr>
          <w:p w14:paraId="7FBC5D5F" w14:textId="77777777" w:rsidR="004C45CD" w:rsidRPr="00636169" w:rsidRDefault="004C45CD" w:rsidP="00F449BB">
            <w:pPr>
              <w:jc w:val="center"/>
              <w:rPr>
                <w:sz w:val="16"/>
                <w:szCs w:val="16"/>
              </w:rPr>
            </w:pPr>
          </w:p>
        </w:tc>
      </w:tr>
      <w:tr w:rsidR="004C45CD" w:rsidRPr="00636169" w14:paraId="62ADA3EA" w14:textId="77777777" w:rsidTr="00F449BB">
        <w:trPr>
          <w:gridAfter w:val="1"/>
          <w:wAfter w:w="1560" w:type="dxa"/>
        </w:trPr>
        <w:tc>
          <w:tcPr>
            <w:tcW w:w="3686" w:type="dxa"/>
            <w:gridSpan w:val="2"/>
            <w:vAlign w:val="center"/>
          </w:tcPr>
          <w:p w14:paraId="3B60E7CD" w14:textId="77777777" w:rsidR="004C45CD" w:rsidRPr="009C7364" w:rsidRDefault="004C45CD" w:rsidP="00F449BB">
            <w:pPr>
              <w:rPr>
                <w:sz w:val="15"/>
                <w:szCs w:val="15"/>
              </w:rPr>
            </w:pPr>
            <w:r w:rsidRPr="00636169">
              <w:rPr>
                <w:i/>
                <w:iCs/>
                <w:sz w:val="15"/>
                <w:szCs w:val="15"/>
              </w:rPr>
              <w:t>Employment status (Ref: working)</w:t>
            </w:r>
          </w:p>
        </w:tc>
        <w:tc>
          <w:tcPr>
            <w:tcW w:w="1984" w:type="dxa"/>
            <w:tcBorders>
              <w:right w:val="single" w:sz="4" w:space="0" w:color="auto"/>
            </w:tcBorders>
            <w:vAlign w:val="center"/>
          </w:tcPr>
          <w:p w14:paraId="0FA96D48" w14:textId="77777777" w:rsidR="004C45CD" w:rsidRPr="00636169" w:rsidRDefault="004C45CD" w:rsidP="00F449BB">
            <w:pPr>
              <w:jc w:val="center"/>
              <w:rPr>
                <w:sz w:val="15"/>
                <w:szCs w:val="15"/>
              </w:rPr>
            </w:pPr>
          </w:p>
        </w:tc>
        <w:tc>
          <w:tcPr>
            <w:tcW w:w="1560" w:type="dxa"/>
            <w:tcBorders>
              <w:left w:val="single" w:sz="4" w:space="0" w:color="auto"/>
            </w:tcBorders>
            <w:vAlign w:val="center"/>
          </w:tcPr>
          <w:p w14:paraId="71D21368" w14:textId="77777777" w:rsidR="004C45CD" w:rsidRPr="00636169" w:rsidRDefault="004C45CD" w:rsidP="00F449BB">
            <w:pPr>
              <w:jc w:val="center"/>
              <w:rPr>
                <w:sz w:val="15"/>
                <w:szCs w:val="15"/>
              </w:rPr>
            </w:pPr>
          </w:p>
        </w:tc>
        <w:tc>
          <w:tcPr>
            <w:tcW w:w="1557" w:type="dxa"/>
            <w:vAlign w:val="center"/>
          </w:tcPr>
          <w:p w14:paraId="233F7C16" w14:textId="77777777" w:rsidR="004C45CD" w:rsidRPr="00636169" w:rsidRDefault="004C45CD" w:rsidP="00F449BB">
            <w:pPr>
              <w:jc w:val="center"/>
              <w:rPr>
                <w:sz w:val="15"/>
                <w:szCs w:val="15"/>
              </w:rPr>
            </w:pPr>
          </w:p>
        </w:tc>
        <w:tc>
          <w:tcPr>
            <w:tcW w:w="239" w:type="dxa"/>
          </w:tcPr>
          <w:p w14:paraId="558822D8" w14:textId="77777777" w:rsidR="004C45CD" w:rsidRPr="00636169" w:rsidRDefault="004C45CD" w:rsidP="00F449BB">
            <w:pPr>
              <w:jc w:val="center"/>
              <w:rPr>
                <w:sz w:val="16"/>
                <w:szCs w:val="16"/>
              </w:rPr>
            </w:pPr>
          </w:p>
        </w:tc>
      </w:tr>
      <w:tr w:rsidR="004C45CD" w:rsidRPr="00636169" w14:paraId="08008E50" w14:textId="77777777" w:rsidTr="00F449BB">
        <w:trPr>
          <w:gridAfter w:val="1"/>
          <w:wAfter w:w="1560" w:type="dxa"/>
        </w:trPr>
        <w:tc>
          <w:tcPr>
            <w:tcW w:w="1913" w:type="dxa"/>
            <w:vAlign w:val="center"/>
          </w:tcPr>
          <w:p w14:paraId="3A7633FB" w14:textId="77777777" w:rsidR="004C45CD" w:rsidRPr="009C7364" w:rsidRDefault="004C45CD" w:rsidP="00F449BB">
            <w:pPr>
              <w:rPr>
                <w:b/>
                <w:bCs/>
                <w:sz w:val="15"/>
                <w:szCs w:val="15"/>
              </w:rPr>
            </w:pPr>
            <w:r w:rsidRPr="009C7364">
              <w:rPr>
                <w:sz w:val="15"/>
                <w:szCs w:val="15"/>
              </w:rPr>
              <w:t xml:space="preserve"> Unemployed</w:t>
            </w:r>
          </w:p>
        </w:tc>
        <w:tc>
          <w:tcPr>
            <w:tcW w:w="1773" w:type="dxa"/>
            <w:vAlign w:val="center"/>
          </w:tcPr>
          <w:p w14:paraId="192D2461" w14:textId="77777777" w:rsidR="004C45CD" w:rsidRDefault="00BB2349" w:rsidP="00F449BB">
            <w:pPr>
              <w:jc w:val="center"/>
              <w:rPr>
                <w:sz w:val="15"/>
                <w:szCs w:val="15"/>
              </w:rPr>
            </w:pPr>
            <w:r>
              <w:rPr>
                <w:sz w:val="15"/>
                <w:szCs w:val="15"/>
              </w:rPr>
              <w:t>0.006</w:t>
            </w:r>
          </w:p>
          <w:p w14:paraId="30096ECB" w14:textId="55D105DC" w:rsidR="00BB2349" w:rsidRPr="009C7364" w:rsidRDefault="00BB2349" w:rsidP="00F449BB">
            <w:pPr>
              <w:jc w:val="center"/>
              <w:rPr>
                <w:sz w:val="15"/>
                <w:szCs w:val="15"/>
              </w:rPr>
            </w:pPr>
            <w:r>
              <w:rPr>
                <w:sz w:val="15"/>
                <w:szCs w:val="15"/>
              </w:rPr>
              <w:t>(0.013)</w:t>
            </w:r>
          </w:p>
        </w:tc>
        <w:tc>
          <w:tcPr>
            <w:tcW w:w="1984" w:type="dxa"/>
            <w:tcBorders>
              <w:right w:val="single" w:sz="4" w:space="0" w:color="auto"/>
            </w:tcBorders>
            <w:vAlign w:val="center"/>
          </w:tcPr>
          <w:p w14:paraId="5E1E37B0" w14:textId="77777777" w:rsidR="004C45CD" w:rsidRDefault="006A5E51" w:rsidP="00F449BB">
            <w:pPr>
              <w:jc w:val="center"/>
              <w:rPr>
                <w:sz w:val="15"/>
                <w:szCs w:val="15"/>
              </w:rPr>
            </w:pPr>
            <w:r>
              <w:rPr>
                <w:sz w:val="15"/>
                <w:szCs w:val="15"/>
              </w:rPr>
              <w:t>-0.004</w:t>
            </w:r>
          </w:p>
          <w:p w14:paraId="260FD728" w14:textId="789648F5" w:rsidR="006A5E51" w:rsidRPr="00636169" w:rsidRDefault="006A5E51" w:rsidP="00F449BB">
            <w:pPr>
              <w:jc w:val="center"/>
              <w:rPr>
                <w:sz w:val="15"/>
                <w:szCs w:val="15"/>
              </w:rPr>
            </w:pPr>
            <w:r>
              <w:rPr>
                <w:sz w:val="15"/>
                <w:szCs w:val="15"/>
              </w:rPr>
              <w:t>(0.012)</w:t>
            </w:r>
          </w:p>
        </w:tc>
        <w:tc>
          <w:tcPr>
            <w:tcW w:w="1560" w:type="dxa"/>
            <w:tcBorders>
              <w:left w:val="single" w:sz="4" w:space="0" w:color="auto"/>
            </w:tcBorders>
            <w:vAlign w:val="center"/>
          </w:tcPr>
          <w:p w14:paraId="555917FA" w14:textId="77777777" w:rsidR="004C45CD" w:rsidRDefault="009C3147" w:rsidP="00F449BB">
            <w:pPr>
              <w:jc w:val="center"/>
              <w:rPr>
                <w:sz w:val="15"/>
                <w:szCs w:val="15"/>
              </w:rPr>
            </w:pPr>
            <w:r>
              <w:rPr>
                <w:sz w:val="15"/>
                <w:szCs w:val="15"/>
              </w:rPr>
              <w:t>0.040</w:t>
            </w:r>
          </w:p>
          <w:p w14:paraId="383A2BB0" w14:textId="6FE842D2" w:rsidR="009C3147" w:rsidRPr="00636169" w:rsidRDefault="009C3147" w:rsidP="00F449BB">
            <w:pPr>
              <w:jc w:val="center"/>
              <w:rPr>
                <w:sz w:val="15"/>
                <w:szCs w:val="15"/>
              </w:rPr>
            </w:pPr>
            <w:r>
              <w:rPr>
                <w:sz w:val="15"/>
                <w:szCs w:val="15"/>
              </w:rPr>
              <w:t>(0.023)</w:t>
            </w:r>
          </w:p>
        </w:tc>
        <w:tc>
          <w:tcPr>
            <w:tcW w:w="1557" w:type="dxa"/>
            <w:vAlign w:val="center"/>
          </w:tcPr>
          <w:p w14:paraId="77E57D4D" w14:textId="5F6E6EF5" w:rsidR="004C45CD" w:rsidRDefault="00537C32" w:rsidP="00F449BB">
            <w:pPr>
              <w:jc w:val="center"/>
              <w:rPr>
                <w:sz w:val="15"/>
                <w:szCs w:val="15"/>
              </w:rPr>
            </w:pPr>
            <w:r>
              <w:rPr>
                <w:sz w:val="15"/>
                <w:szCs w:val="15"/>
              </w:rPr>
              <w:t>0.</w:t>
            </w:r>
            <w:r w:rsidR="002B2E66">
              <w:rPr>
                <w:sz w:val="15"/>
                <w:szCs w:val="15"/>
              </w:rPr>
              <w:t>019</w:t>
            </w:r>
          </w:p>
          <w:p w14:paraId="7573B12C" w14:textId="5B2C46D4" w:rsidR="00537C32" w:rsidRPr="00636169" w:rsidRDefault="00537C32" w:rsidP="00F449BB">
            <w:pPr>
              <w:jc w:val="center"/>
              <w:rPr>
                <w:sz w:val="15"/>
                <w:szCs w:val="15"/>
              </w:rPr>
            </w:pPr>
            <w:r>
              <w:rPr>
                <w:sz w:val="15"/>
                <w:szCs w:val="15"/>
              </w:rPr>
              <w:t>(0.</w:t>
            </w:r>
            <w:r w:rsidR="002B2E66">
              <w:rPr>
                <w:sz w:val="15"/>
                <w:szCs w:val="15"/>
              </w:rPr>
              <w:t>021</w:t>
            </w:r>
            <w:r>
              <w:rPr>
                <w:sz w:val="15"/>
                <w:szCs w:val="15"/>
              </w:rPr>
              <w:t>)</w:t>
            </w:r>
          </w:p>
        </w:tc>
        <w:tc>
          <w:tcPr>
            <w:tcW w:w="239" w:type="dxa"/>
          </w:tcPr>
          <w:p w14:paraId="7260D60C" w14:textId="77777777" w:rsidR="004C45CD" w:rsidRPr="00636169" w:rsidRDefault="004C45CD" w:rsidP="00F449BB">
            <w:pPr>
              <w:jc w:val="center"/>
              <w:rPr>
                <w:sz w:val="16"/>
                <w:szCs w:val="16"/>
              </w:rPr>
            </w:pPr>
          </w:p>
        </w:tc>
      </w:tr>
      <w:tr w:rsidR="004C45CD" w:rsidRPr="00636169" w14:paraId="253E159F" w14:textId="77777777" w:rsidTr="00F449BB">
        <w:trPr>
          <w:gridAfter w:val="1"/>
          <w:wAfter w:w="1560" w:type="dxa"/>
        </w:trPr>
        <w:tc>
          <w:tcPr>
            <w:tcW w:w="1913" w:type="dxa"/>
            <w:vAlign w:val="center"/>
          </w:tcPr>
          <w:p w14:paraId="18604199" w14:textId="77777777" w:rsidR="004C45CD" w:rsidRPr="009C7364" w:rsidRDefault="004C45CD" w:rsidP="00F449BB">
            <w:pPr>
              <w:rPr>
                <w:b/>
                <w:bCs/>
                <w:sz w:val="15"/>
                <w:szCs w:val="15"/>
              </w:rPr>
            </w:pPr>
            <w:r w:rsidRPr="009C7364">
              <w:rPr>
                <w:sz w:val="15"/>
                <w:szCs w:val="15"/>
              </w:rPr>
              <w:t xml:space="preserve"> Student</w:t>
            </w:r>
          </w:p>
        </w:tc>
        <w:tc>
          <w:tcPr>
            <w:tcW w:w="1773" w:type="dxa"/>
            <w:vAlign w:val="center"/>
          </w:tcPr>
          <w:p w14:paraId="724E8470" w14:textId="1A37DDA1" w:rsidR="004C45CD" w:rsidRPr="009C7364" w:rsidRDefault="000E2F76" w:rsidP="00F449BB">
            <w:pPr>
              <w:jc w:val="center"/>
              <w:rPr>
                <w:sz w:val="15"/>
                <w:szCs w:val="15"/>
              </w:rPr>
            </w:pPr>
            <w:r>
              <w:rPr>
                <w:sz w:val="15"/>
                <w:szCs w:val="15"/>
              </w:rPr>
              <w:t>/</w:t>
            </w:r>
          </w:p>
        </w:tc>
        <w:tc>
          <w:tcPr>
            <w:tcW w:w="1984" w:type="dxa"/>
            <w:tcBorders>
              <w:right w:val="single" w:sz="4" w:space="0" w:color="auto"/>
            </w:tcBorders>
            <w:vAlign w:val="center"/>
          </w:tcPr>
          <w:p w14:paraId="1417E529" w14:textId="6C3E23A1" w:rsidR="004C45CD" w:rsidRPr="00636169" w:rsidRDefault="000E2F76" w:rsidP="00F449BB">
            <w:pPr>
              <w:jc w:val="center"/>
              <w:rPr>
                <w:sz w:val="15"/>
                <w:szCs w:val="15"/>
              </w:rPr>
            </w:pPr>
            <w:r>
              <w:rPr>
                <w:sz w:val="15"/>
                <w:szCs w:val="15"/>
              </w:rPr>
              <w:t>/</w:t>
            </w:r>
          </w:p>
        </w:tc>
        <w:tc>
          <w:tcPr>
            <w:tcW w:w="1560" w:type="dxa"/>
            <w:tcBorders>
              <w:left w:val="single" w:sz="4" w:space="0" w:color="auto"/>
            </w:tcBorders>
            <w:vAlign w:val="center"/>
          </w:tcPr>
          <w:p w14:paraId="056F5550" w14:textId="26E9D5E5" w:rsidR="004C45CD" w:rsidRPr="00636169" w:rsidRDefault="000E2F76" w:rsidP="00F449BB">
            <w:pPr>
              <w:jc w:val="center"/>
              <w:rPr>
                <w:sz w:val="15"/>
                <w:szCs w:val="15"/>
              </w:rPr>
            </w:pPr>
            <w:r>
              <w:rPr>
                <w:sz w:val="15"/>
                <w:szCs w:val="15"/>
              </w:rPr>
              <w:t>/</w:t>
            </w:r>
          </w:p>
        </w:tc>
        <w:tc>
          <w:tcPr>
            <w:tcW w:w="1557" w:type="dxa"/>
            <w:vAlign w:val="center"/>
          </w:tcPr>
          <w:p w14:paraId="7F66E129" w14:textId="73BF7626" w:rsidR="004C45CD" w:rsidRPr="00636169" w:rsidRDefault="000E2F76" w:rsidP="00F449BB">
            <w:pPr>
              <w:jc w:val="center"/>
              <w:rPr>
                <w:sz w:val="15"/>
                <w:szCs w:val="15"/>
              </w:rPr>
            </w:pPr>
            <w:r>
              <w:rPr>
                <w:sz w:val="15"/>
                <w:szCs w:val="15"/>
              </w:rPr>
              <w:t>/</w:t>
            </w:r>
          </w:p>
        </w:tc>
        <w:tc>
          <w:tcPr>
            <w:tcW w:w="239" w:type="dxa"/>
          </w:tcPr>
          <w:p w14:paraId="28D8EE63" w14:textId="77777777" w:rsidR="004C45CD" w:rsidRPr="00636169" w:rsidRDefault="004C45CD" w:rsidP="00F449BB">
            <w:pPr>
              <w:jc w:val="center"/>
              <w:rPr>
                <w:sz w:val="16"/>
                <w:szCs w:val="16"/>
              </w:rPr>
            </w:pPr>
          </w:p>
        </w:tc>
      </w:tr>
      <w:tr w:rsidR="004C45CD" w:rsidRPr="00636169" w14:paraId="1E311799" w14:textId="77777777" w:rsidTr="00F449BB">
        <w:trPr>
          <w:gridAfter w:val="1"/>
          <w:wAfter w:w="1560" w:type="dxa"/>
        </w:trPr>
        <w:tc>
          <w:tcPr>
            <w:tcW w:w="1913" w:type="dxa"/>
            <w:vAlign w:val="center"/>
          </w:tcPr>
          <w:p w14:paraId="59D03D71" w14:textId="77777777" w:rsidR="004C45CD" w:rsidRPr="009C7364" w:rsidRDefault="004C45CD" w:rsidP="00F449BB">
            <w:pPr>
              <w:rPr>
                <w:b/>
                <w:bCs/>
                <w:sz w:val="15"/>
                <w:szCs w:val="15"/>
              </w:rPr>
            </w:pPr>
            <w:r w:rsidRPr="009C7364">
              <w:rPr>
                <w:sz w:val="15"/>
                <w:szCs w:val="15"/>
              </w:rPr>
              <w:t xml:space="preserve"> Retired</w:t>
            </w:r>
          </w:p>
        </w:tc>
        <w:tc>
          <w:tcPr>
            <w:tcW w:w="1773" w:type="dxa"/>
            <w:vAlign w:val="center"/>
          </w:tcPr>
          <w:p w14:paraId="49DABA99" w14:textId="1BAC12B2" w:rsidR="004C45CD" w:rsidRDefault="00BB2349" w:rsidP="00F449BB">
            <w:pPr>
              <w:jc w:val="center"/>
              <w:rPr>
                <w:sz w:val="15"/>
                <w:szCs w:val="15"/>
              </w:rPr>
            </w:pPr>
            <w:r>
              <w:rPr>
                <w:sz w:val="15"/>
                <w:szCs w:val="15"/>
              </w:rPr>
              <w:t>-0.020</w:t>
            </w:r>
            <w:r w:rsidR="00813FE3">
              <w:rPr>
                <w:sz w:val="15"/>
                <w:szCs w:val="15"/>
              </w:rPr>
              <w:t>*</w:t>
            </w:r>
          </w:p>
          <w:p w14:paraId="26533CD4" w14:textId="557B5AE5" w:rsidR="00BB2349" w:rsidRPr="009C7364" w:rsidRDefault="00BB2349" w:rsidP="00F449BB">
            <w:pPr>
              <w:jc w:val="center"/>
              <w:rPr>
                <w:sz w:val="15"/>
                <w:szCs w:val="15"/>
              </w:rPr>
            </w:pPr>
            <w:r>
              <w:rPr>
                <w:sz w:val="15"/>
                <w:szCs w:val="15"/>
              </w:rPr>
              <w:t>(0.010)</w:t>
            </w:r>
          </w:p>
        </w:tc>
        <w:tc>
          <w:tcPr>
            <w:tcW w:w="1984" w:type="dxa"/>
            <w:tcBorders>
              <w:right w:val="single" w:sz="4" w:space="0" w:color="auto"/>
            </w:tcBorders>
            <w:vAlign w:val="center"/>
          </w:tcPr>
          <w:p w14:paraId="5707E8F5" w14:textId="48A3E027" w:rsidR="004C45CD" w:rsidRPr="004E60BA" w:rsidRDefault="006A5E51" w:rsidP="00F449BB">
            <w:pPr>
              <w:jc w:val="center"/>
              <w:rPr>
                <w:sz w:val="15"/>
                <w:szCs w:val="15"/>
                <w:vertAlign w:val="superscript"/>
              </w:rPr>
            </w:pPr>
            <w:r>
              <w:rPr>
                <w:sz w:val="15"/>
                <w:szCs w:val="15"/>
              </w:rPr>
              <w:t>-0.025</w:t>
            </w:r>
            <w:r w:rsidR="004E60BA" w:rsidRPr="004E60BA">
              <w:rPr>
                <w:sz w:val="15"/>
                <w:szCs w:val="15"/>
              </w:rPr>
              <w:t>*</w:t>
            </w:r>
          </w:p>
          <w:p w14:paraId="6563C8EC" w14:textId="2796A0BE" w:rsidR="006A5E51" w:rsidRPr="00636169" w:rsidRDefault="006A5E51" w:rsidP="00F449BB">
            <w:pPr>
              <w:jc w:val="center"/>
              <w:rPr>
                <w:sz w:val="15"/>
                <w:szCs w:val="15"/>
              </w:rPr>
            </w:pPr>
            <w:r>
              <w:rPr>
                <w:sz w:val="15"/>
                <w:szCs w:val="15"/>
              </w:rPr>
              <w:t>(0.010)</w:t>
            </w:r>
          </w:p>
        </w:tc>
        <w:tc>
          <w:tcPr>
            <w:tcW w:w="1560" w:type="dxa"/>
            <w:tcBorders>
              <w:left w:val="single" w:sz="4" w:space="0" w:color="auto"/>
            </w:tcBorders>
            <w:vAlign w:val="center"/>
          </w:tcPr>
          <w:p w14:paraId="452D4E5F" w14:textId="77777777" w:rsidR="004C45CD" w:rsidRDefault="009C3147" w:rsidP="00F449BB">
            <w:pPr>
              <w:jc w:val="center"/>
              <w:rPr>
                <w:sz w:val="15"/>
                <w:szCs w:val="15"/>
              </w:rPr>
            </w:pPr>
            <w:r>
              <w:rPr>
                <w:sz w:val="15"/>
                <w:szCs w:val="15"/>
              </w:rPr>
              <w:t>0.010</w:t>
            </w:r>
          </w:p>
          <w:p w14:paraId="2579F1EA" w14:textId="5968A156" w:rsidR="009C3147" w:rsidRPr="00636169" w:rsidRDefault="009C3147" w:rsidP="00F449BB">
            <w:pPr>
              <w:jc w:val="center"/>
              <w:rPr>
                <w:sz w:val="15"/>
                <w:szCs w:val="15"/>
              </w:rPr>
            </w:pPr>
            <w:r>
              <w:rPr>
                <w:sz w:val="15"/>
                <w:szCs w:val="15"/>
              </w:rPr>
              <w:t>(0.024)</w:t>
            </w:r>
          </w:p>
        </w:tc>
        <w:tc>
          <w:tcPr>
            <w:tcW w:w="1557" w:type="dxa"/>
            <w:vAlign w:val="center"/>
          </w:tcPr>
          <w:p w14:paraId="69635881" w14:textId="4EBDC14C" w:rsidR="00537C32" w:rsidRDefault="00940AA9" w:rsidP="00F449BB">
            <w:pPr>
              <w:jc w:val="center"/>
              <w:rPr>
                <w:sz w:val="15"/>
                <w:szCs w:val="15"/>
              </w:rPr>
            </w:pPr>
            <w:r>
              <w:rPr>
                <w:sz w:val="15"/>
                <w:szCs w:val="15"/>
              </w:rPr>
              <w:t>0.0</w:t>
            </w:r>
            <w:r w:rsidR="002B2E66">
              <w:rPr>
                <w:sz w:val="15"/>
                <w:szCs w:val="15"/>
              </w:rPr>
              <w:t>02</w:t>
            </w:r>
          </w:p>
          <w:p w14:paraId="5ACE9392" w14:textId="7619D7DC" w:rsidR="00940AA9" w:rsidRPr="00636169" w:rsidRDefault="00940AA9" w:rsidP="00F449BB">
            <w:pPr>
              <w:jc w:val="center"/>
              <w:rPr>
                <w:sz w:val="15"/>
                <w:szCs w:val="15"/>
              </w:rPr>
            </w:pPr>
            <w:r>
              <w:rPr>
                <w:sz w:val="15"/>
                <w:szCs w:val="15"/>
              </w:rPr>
              <w:t>(0.</w:t>
            </w:r>
            <w:r w:rsidR="002B2E66">
              <w:rPr>
                <w:sz w:val="15"/>
                <w:szCs w:val="15"/>
              </w:rPr>
              <w:t>023</w:t>
            </w:r>
            <w:r w:rsidR="00E000C2">
              <w:rPr>
                <w:sz w:val="15"/>
                <w:szCs w:val="15"/>
              </w:rPr>
              <w:t>)</w:t>
            </w:r>
          </w:p>
        </w:tc>
        <w:tc>
          <w:tcPr>
            <w:tcW w:w="239" w:type="dxa"/>
          </w:tcPr>
          <w:p w14:paraId="42003D01" w14:textId="77777777" w:rsidR="004C45CD" w:rsidRPr="00636169" w:rsidRDefault="004C45CD" w:rsidP="00F449BB">
            <w:pPr>
              <w:jc w:val="center"/>
              <w:rPr>
                <w:sz w:val="16"/>
                <w:szCs w:val="16"/>
              </w:rPr>
            </w:pPr>
          </w:p>
        </w:tc>
      </w:tr>
      <w:tr w:rsidR="004C45CD" w:rsidRPr="00636169" w14:paraId="12214E97" w14:textId="77777777" w:rsidTr="00F449BB">
        <w:trPr>
          <w:gridAfter w:val="1"/>
          <w:wAfter w:w="1560" w:type="dxa"/>
        </w:trPr>
        <w:tc>
          <w:tcPr>
            <w:tcW w:w="1913" w:type="dxa"/>
            <w:vAlign w:val="center"/>
          </w:tcPr>
          <w:p w14:paraId="5C62FFF4" w14:textId="77777777" w:rsidR="004C45CD" w:rsidRPr="009C7364" w:rsidRDefault="004C45CD" w:rsidP="00F449BB">
            <w:pPr>
              <w:rPr>
                <w:b/>
                <w:bCs/>
                <w:sz w:val="15"/>
                <w:szCs w:val="15"/>
              </w:rPr>
            </w:pPr>
            <w:r w:rsidRPr="009C7364">
              <w:rPr>
                <w:sz w:val="15"/>
                <w:szCs w:val="15"/>
              </w:rPr>
              <w:t xml:space="preserve"> Looking after the home/other</w:t>
            </w:r>
          </w:p>
        </w:tc>
        <w:tc>
          <w:tcPr>
            <w:tcW w:w="1773" w:type="dxa"/>
            <w:vAlign w:val="center"/>
          </w:tcPr>
          <w:p w14:paraId="193F6191" w14:textId="77777777" w:rsidR="004C45CD" w:rsidRDefault="00BB2349" w:rsidP="00F449BB">
            <w:pPr>
              <w:jc w:val="center"/>
              <w:rPr>
                <w:sz w:val="15"/>
                <w:szCs w:val="15"/>
              </w:rPr>
            </w:pPr>
            <w:r>
              <w:rPr>
                <w:sz w:val="15"/>
                <w:szCs w:val="15"/>
              </w:rPr>
              <w:t>0.010</w:t>
            </w:r>
          </w:p>
          <w:p w14:paraId="342209F7" w14:textId="49EAFF9E" w:rsidR="00BB2349" w:rsidRPr="009C7364" w:rsidRDefault="00BB2349" w:rsidP="00F449BB">
            <w:pPr>
              <w:jc w:val="center"/>
              <w:rPr>
                <w:sz w:val="15"/>
                <w:szCs w:val="15"/>
              </w:rPr>
            </w:pPr>
            <w:r>
              <w:rPr>
                <w:sz w:val="15"/>
                <w:szCs w:val="15"/>
              </w:rPr>
              <w:t>(0.010)</w:t>
            </w:r>
          </w:p>
        </w:tc>
        <w:tc>
          <w:tcPr>
            <w:tcW w:w="1984" w:type="dxa"/>
            <w:tcBorders>
              <w:right w:val="single" w:sz="4" w:space="0" w:color="auto"/>
            </w:tcBorders>
            <w:vAlign w:val="center"/>
          </w:tcPr>
          <w:p w14:paraId="0333BC3A" w14:textId="77777777" w:rsidR="004C45CD" w:rsidRDefault="004E60BA" w:rsidP="00F449BB">
            <w:pPr>
              <w:jc w:val="center"/>
              <w:rPr>
                <w:sz w:val="15"/>
                <w:szCs w:val="15"/>
              </w:rPr>
            </w:pPr>
            <w:r>
              <w:rPr>
                <w:sz w:val="15"/>
                <w:szCs w:val="15"/>
              </w:rPr>
              <w:t>0.004</w:t>
            </w:r>
          </w:p>
          <w:p w14:paraId="2A99DF22" w14:textId="2958744E" w:rsidR="004E60BA" w:rsidRPr="00636169" w:rsidRDefault="004E60BA" w:rsidP="00F449BB">
            <w:pPr>
              <w:jc w:val="center"/>
              <w:rPr>
                <w:sz w:val="15"/>
                <w:szCs w:val="15"/>
              </w:rPr>
            </w:pPr>
            <w:r>
              <w:rPr>
                <w:sz w:val="15"/>
                <w:szCs w:val="15"/>
              </w:rPr>
              <w:t>(0.010)</w:t>
            </w:r>
          </w:p>
        </w:tc>
        <w:tc>
          <w:tcPr>
            <w:tcW w:w="1560" w:type="dxa"/>
            <w:tcBorders>
              <w:left w:val="single" w:sz="4" w:space="0" w:color="auto"/>
            </w:tcBorders>
            <w:vAlign w:val="center"/>
          </w:tcPr>
          <w:p w14:paraId="3964E84E" w14:textId="77777777" w:rsidR="004C45CD" w:rsidRDefault="009C3147" w:rsidP="00F449BB">
            <w:pPr>
              <w:jc w:val="center"/>
              <w:rPr>
                <w:sz w:val="15"/>
                <w:szCs w:val="15"/>
              </w:rPr>
            </w:pPr>
            <w:r>
              <w:rPr>
                <w:sz w:val="15"/>
                <w:szCs w:val="15"/>
              </w:rPr>
              <w:t>0.</w:t>
            </w:r>
            <w:r w:rsidR="00A60610">
              <w:rPr>
                <w:sz w:val="15"/>
                <w:szCs w:val="15"/>
              </w:rPr>
              <w:t>009</w:t>
            </w:r>
          </w:p>
          <w:p w14:paraId="064BDDBF" w14:textId="7D034863" w:rsidR="00A60610" w:rsidRPr="00636169" w:rsidRDefault="00A60610" w:rsidP="00F449BB">
            <w:pPr>
              <w:jc w:val="center"/>
              <w:rPr>
                <w:sz w:val="15"/>
                <w:szCs w:val="15"/>
              </w:rPr>
            </w:pPr>
            <w:r>
              <w:rPr>
                <w:sz w:val="15"/>
                <w:szCs w:val="15"/>
              </w:rPr>
              <w:t>(0.017)</w:t>
            </w:r>
          </w:p>
        </w:tc>
        <w:tc>
          <w:tcPr>
            <w:tcW w:w="1557" w:type="dxa"/>
            <w:vAlign w:val="center"/>
          </w:tcPr>
          <w:p w14:paraId="678831F3" w14:textId="23255F56" w:rsidR="00940AA9" w:rsidRDefault="00940AA9" w:rsidP="00940AA9">
            <w:pPr>
              <w:jc w:val="center"/>
              <w:rPr>
                <w:sz w:val="15"/>
                <w:szCs w:val="15"/>
              </w:rPr>
            </w:pPr>
            <w:r>
              <w:rPr>
                <w:sz w:val="15"/>
                <w:szCs w:val="15"/>
              </w:rPr>
              <w:t>-0.00</w:t>
            </w:r>
            <w:r w:rsidR="00F72AED">
              <w:rPr>
                <w:sz w:val="15"/>
                <w:szCs w:val="15"/>
              </w:rPr>
              <w:t>04</w:t>
            </w:r>
          </w:p>
          <w:p w14:paraId="72107F37" w14:textId="6EF115C2" w:rsidR="004C45CD" w:rsidRPr="00636169" w:rsidRDefault="00940AA9" w:rsidP="00940AA9">
            <w:pPr>
              <w:jc w:val="center"/>
              <w:rPr>
                <w:sz w:val="15"/>
                <w:szCs w:val="15"/>
              </w:rPr>
            </w:pPr>
            <w:r>
              <w:rPr>
                <w:sz w:val="15"/>
                <w:szCs w:val="15"/>
              </w:rPr>
              <w:t>(0.120)</w:t>
            </w:r>
          </w:p>
        </w:tc>
        <w:tc>
          <w:tcPr>
            <w:tcW w:w="239" w:type="dxa"/>
          </w:tcPr>
          <w:p w14:paraId="7DED429C" w14:textId="77777777" w:rsidR="004C45CD" w:rsidRPr="00636169" w:rsidRDefault="004C45CD" w:rsidP="00F449BB">
            <w:pPr>
              <w:jc w:val="center"/>
              <w:rPr>
                <w:sz w:val="16"/>
                <w:szCs w:val="16"/>
              </w:rPr>
            </w:pPr>
          </w:p>
        </w:tc>
      </w:tr>
      <w:tr w:rsidR="004C45CD" w:rsidRPr="00636169" w14:paraId="56C1BAB2" w14:textId="77777777" w:rsidTr="00F449BB">
        <w:trPr>
          <w:gridAfter w:val="1"/>
          <w:wAfter w:w="1560" w:type="dxa"/>
        </w:trPr>
        <w:tc>
          <w:tcPr>
            <w:tcW w:w="1913" w:type="dxa"/>
            <w:vAlign w:val="center"/>
          </w:tcPr>
          <w:p w14:paraId="22D0AA55" w14:textId="77777777" w:rsidR="004C45CD" w:rsidRPr="009C7364" w:rsidRDefault="004C45CD" w:rsidP="00F449BB">
            <w:pPr>
              <w:rPr>
                <w:b/>
                <w:bCs/>
                <w:sz w:val="15"/>
                <w:szCs w:val="15"/>
              </w:rPr>
            </w:pPr>
            <w:r w:rsidRPr="009C7364">
              <w:rPr>
                <w:i/>
                <w:iCs/>
                <w:sz w:val="15"/>
                <w:szCs w:val="15"/>
              </w:rPr>
              <w:t>Region (Ref: Dublin)</w:t>
            </w:r>
          </w:p>
        </w:tc>
        <w:tc>
          <w:tcPr>
            <w:tcW w:w="1773" w:type="dxa"/>
            <w:vAlign w:val="center"/>
          </w:tcPr>
          <w:p w14:paraId="3A23508D" w14:textId="77777777" w:rsidR="004C45CD" w:rsidRPr="009C7364" w:rsidRDefault="004C45CD" w:rsidP="00F449BB">
            <w:pPr>
              <w:jc w:val="center"/>
              <w:rPr>
                <w:sz w:val="15"/>
                <w:szCs w:val="15"/>
              </w:rPr>
            </w:pPr>
          </w:p>
        </w:tc>
        <w:tc>
          <w:tcPr>
            <w:tcW w:w="1984" w:type="dxa"/>
            <w:tcBorders>
              <w:right w:val="single" w:sz="4" w:space="0" w:color="auto"/>
            </w:tcBorders>
            <w:vAlign w:val="center"/>
          </w:tcPr>
          <w:p w14:paraId="77D60A9C" w14:textId="77777777" w:rsidR="004C45CD" w:rsidRPr="00636169" w:rsidRDefault="004C45CD" w:rsidP="00F449BB">
            <w:pPr>
              <w:jc w:val="center"/>
              <w:rPr>
                <w:sz w:val="15"/>
                <w:szCs w:val="15"/>
              </w:rPr>
            </w:pPr>
          </w:p>
        </w:tc>
        <w:tc>
          <w:tcPr>
            <w:tcW w:w="1560" w:type="dxa"/>
            <w:tcBorders>
              <w:left w:val="single" w:sz="4" w:space="0" w:color="auto"/>
            </w:tcBorders>
            <w:vAlign w:val="center"/>
          </w:tcPr>
          <w:p w14:paraId="6961F742" w14:textId="77777777" w:rsidR="004C45CD" w:rsidRPr="00636169" w:rsidRDefault="004C45CD" w:rsidP="00F449BB">
            <w:pPr>
              <w:jc w:val="center"/>
              <w:rPr>
                <w:sz w:val="15"/>
                <w:szCs w:val="15"/>
              </w:rPr>
            </w:pPr>
          </w:p>
        </w:tc>
        <w:tc>
          <w:tcPr>
            <w:tcW w:w="1557" w:type="dxa"/>
            <w:vAlign w:val="center"/>
          </w:tcPr>
          <w:p w14:paraId="6E579117" w14:textId="77777777" w:rsidR="004C45CD" w:rsidRPr="00636169" w:rsidRDefault="004C45CD" w:rsidP="00F449BB">
            <w:pPr>
              <w:jc w:val="center"/>
              <w:rPr>
                <w:sz w:val="15"/>
                <w:szCs w:val="15"/>
              </w:rPr>
            </w:pPr>
          </w:p>
        </w:tc>
        <w:tc>
          <w:tcPr>
            <w:tcW w:w="239" w:type="dxa"/>
          </w:tcPr>
          <w:p w14:paraId="306611B3" w14:textId="77777777" w:rsidR="004C45CD" w:rsidRPr="00636169" w:rsidRDefault="004C45CD" w:rsidP="00F449BB">
            <w:pPr>
              <w:jc w:val="center"/>
              <w:rPr>
                <w:sz w:val="16"/>
                <w:szCs w:val="16"/>
              </w:rPr>
            </w:pPr>
          </w:p>
        </w:tc>
      </w:tr>
      <w:tr w:rsidR="004C45CD" w:rsidRPr="00636169" w14:paraId="575CC674" w14:textId="77777777" w:rsidTr="00F449BB">
        <w:trPr>
          <w:gridAfter w:val="1"/>
          <w:wAfter w:w="1560" w:type="dxa"/>
        </w:trPr>
        <w:tc>
          <w:tcPr>
            <w:tcW w:w="1913" w:type="dxa"/>
            <w:vAlign w:val="center"/>
          </w:tcPr>
          <w:p w14:paraId="6124211E" w14:textId="77777777" w:rsidR="004C45CD" w:rsidRPr="009C7364" w:rsidRDefault="004C45CD" w:rsidP="00F449BB">
            <w:pPr>
              <w:rPr>
                <w:b/>
                <w:bCs/>
                <w:sz w:val="15"/>
                <w:szCs w:val="15"/>
              </w:rPr>
            </w:pPr>
            <w:r w:rsidRPr="009C7364">
              <w:rPr>
                <w:sz w:val="15"/>
                <w:szCs w:val="15"/>
              </w:rPr>
              <w:t xml:space="preserve"> Rest of Leinster</w:t>
            </w:r>
          </w:p>
        </w:tc>
        <w:tc>
          <w:tcPr>
            <w:tcW w:w="1773" w:type="dxa"/>
            <w:vAlign w:val="center"/>
          </w:tcPr>
          <w:p w14:paraId="751E91FA" w14:textId="77777777" w:rsidR="004C45CD" w:rsidRDefault="00370A8C" w:rsidP="00F449BB">
            <w:pPr>
              <w:jc w:val="center"/>
              <w:rPr>
                <w:sz w:val="15"/>
                <w:szCs w:val="15"/>
              </w:rPr>
            </w:pPr>
            <w:r>
              <w:rPr>
                <w:sz w:val="15"/>
                <w:szCs w:val="15"/>
              </w:rPr>
              <w:t>0.009</w:t>
            </w:r>
          </w:p>
          <w:p w14:paraId="18239897" w14:textId="609B17EC" w:rsidR="00370A8C" w:rsidRPr="009C7364" w:rsidRDefault="00370A8C" w:rsidP="00F449BB">
            <w:pPr>
              <w:jc w:val="center"/>
              <w:rPr>
                <w:sz w:val="15"/>
                <w:szCs w:val="15"/>
              </w:rPr>
            </w:pPr>
            <w:r>
              <w:rPr>
                <w:sz w:val="15"/>
                <w:szCs w:val="15"/>
              </w:rPr>
              <w:t>(0.009)</w:t>
            </w:r>
          </w:p>
        </w:tc>
        <w:tc>
          <w:tcPr>
            <w:tcW w:w="1984" w:type="dxa"/>
            <w:tcBorders>
              <w:right w:val="single" w:sz="4" w:space="0" w:color="auto"/>
            </w:tcBorders>
            <w:vAlign w:val="center"/>
          </w:tcPr>
          <w:p w14:paraId="72DC340D" w14:textId="0B2E96D8" w:rsidR="004C45CD" w:rsidRDefault="00F57046" w:rsidP="00F449BB">
            <w:pPr>
              <w:jc w:val="center"/>
              <w:rPr>
                <w:sz w:val="15"/>
                <w:szCs w:val="15"/>
              </w:rPr>
            </w:pPr>
            <w:r>
              <w:rPr>
                <w:sz w:val="15"/>
                <w:szCs w:val="15"/>
              </w:rPr>
              <w:t>0.01</w:t>
            </w:r>
            <w:r w:rsidR="008A293C">
              <w:rPr>
                <w:sz w:val="15"/>
                <w:szCs w:val="15"/>
              </w:rPr>
              <w:t>6</w:t>
            </w:r>
          </w:p>
          <w:p w14:paraId="5788F673" w14:textId="2207CB0D" w:rsidR="00F57046" w:rsidRPr="00636169" w:rsidRDefault="00F57046" w:rsidP="00F449BB">
            <w:pPr>
              <w:jc w:val="center"/>
              <w:rPr>
                <w:sz w:val="15"/>
                <w:szCs w:val="15"/>
              </w:rPr>
            </w:pPr>
            <w:r>
              <w:rPr>
                <w:sz w:val="15"/>
                <w:szCs w:val="15"/>
              </w:rPr>
              <w:t>(0.0</w:t>
            </w:r>
            <w:r w:rsidR="008A293C">
              <w:rPr>
                <w:sz w:val="15"/>
                <w:szCs w:val="15"/>
              </w:rPr>
              <w:t>09)</w:t>
            </w:r>
          </w:p>
        </w:tc>
        <w:tc>
          <w:tcPr>
            <w:tcW w:w="1560" w:type="dxa"/>
            <w:tcBorders>
              <w:left w:val="single" w:sz="4" w:space="0" w:color="auto"/>
            </w:tcBorders>
            <w:vAlign w:val="center"/>
          </w:tcPr>
          <w:p w14:paraId="3B4392D4" w14:textId="77777777" w:rsidR="004C45CD" w:rsidRDefault="00A60610" w:rsidP="00F449BB">
            <w:pPr>
              <w:jc w:val="center"/>
              <w:rPr>
                <w:sz w:val="15"/>
                <w:szCs w:val="15"/>
              </w:rPr>
            </w:pPr>
            <w:r>
              <w:rPr>
                <w:sz w:val="15"/>
                <w:szCs w:val="15"/>
              </w:rPr>
              <w:t>-0.006</w:t>
            </w:r>
          </w:p>
          <w:p w14:paraId="4D998E9B" w14:textId="6D5C6332" w:rsidR="00A60610" w:rsidRPr="00636169" w:rsidRDefault="00A60610" w:rsidP="00F449BB">
            <w:pPr>
              <w:jc w:val="center"/>
              <w:rPr>
                <w:sz w:val="15"/>
                <w:szCs w:val="15"/>
              </w:rPr>
            </w:pPr>
            <w:r>
              <w:rPr>
                <w:sz w:val="15"/>
                <w:szCs w:val="15"/>
              </w:rPr>
              <w:t>(0.016)</w:t>
            </w:r>
          </w:p>
        </w:tc>
        <w:tc>
          <w:tcPr>
            <w:tcW w:w="1557" w:type="dxa"/>
            <w:vAlign w:val="center"/>
          </w:tcPr>
          <w:p w14:paraId="3AC21C20" w14:textId="5188CB20" w:rsidR="004C45CD" w:rsidRDefault="00E000C2" w:rsidP="00F449BB">
            <w:pPr>
              <w:jc w:val="center"/>
              <w:rPr>
                <w:sz w:val="15"/>
                <w:szCs w:val="15"/>
              </w:rPr>
            </w:pPr>
            <w:r>
              <w:rPr>
                <w:sz w:val="15"/>
                <w:szCs w:val="15"/>
              </w:rPr>
              <w:t>0.0</w:t>
            </w:r>
            <w:r w:rsidR="00F72AED">
              <w:rPr>
                <w:sz w:val="15"/>
                <w:szCs w:val="15"/>
              </w:rPr>
              <w:t>08</w:t>
            </w:r>
          </w:p>
          <w:p w14:paraId="0FFF404F" w14:textId="4E9CEDD5" w:rsidR="00E000C2" w:rsidRPr="00636169" w:rsidRDefault="00E000C2" w:rsidP="00F449BB">
            <w:pPr>
              <w:jc w:val="center"/>
              <w:rPr>
                <w:sz w:val="15"/>
                <w:szCs w:val="15"/>
              </w:rPr>
            </w:pPr>
            <w:r>
              <w:rPr>
                <w:sz w:val="15"/>
                <w:szCs w:val="15"/>
              </w:rPr>
              <w:t>(0.</w:t>
            </w:r>
            <w:r w:rsidR="00F72AED">
              <w:rPr>
                <w:sz w:val="15"/>
                <w:szCs w:val="15"/>
              </w:rPr>
              <w:t>0</w:t>
            </w:r>
            <w:r w:rsidR="000024DB">
              <w:rPr>
                <w:sz w:val="15"/>
                <w:szCs w:val="15"/>
              </w:rPr>
              <w:t>15</w:t>
            </w:r>
            <w:r>
              <w:rPr>
                <w:sz w:val="15"/>
                <w:szCs w:val="15"/>
              </w:rPr>
              <w:t>)</w:t>
            </w:r>
          </w:p>
        </w:tc>
        <w:tc>
          <w:tcPr>
            <w:tcW w:w="239" w:type="dxa"/>
          </w:tcPr>
          <w:p w14:paraId="4E52BE56" w14:textId="77777777" w:rsidR="004C45CD" w:rsidRPr="00636169" w:rsidRDefault="004C45CD" w:rsidP="00F449BB">
            <w:pPr>
              <w:jc w:val="center"/>
              <w:rPr>
                <w:sz w:val="16"/>
                <w:szCs w:val="16"/>
              </w:rPr>
            </w:pPr>
          </w:p>
        </w:tc>
      </w:tr>
      <w:tr w:rsidR="004C45CD" w:rsidRPr="00636169" w14:paraId="0BB8CFAB" w14:textId="77777777" w:rsidTr="00F449BB">
        <w:trPr>
          <w:gridAfter w:val="1"/>
          <w:wAfter w:w="1560" w:type="dxa"/>
        </w:trPr>
        <w:tc>
          <w:tcPr>
            <w:tcW w:w="1913" w:type="dxa"/>
            <w:vAlign w:val="center"/>
          </w:tcPr>
          <w:p w14:paraId="1D36287C" w14:textId="77777777" w:rsidR="004C45CD" w:rsidRPr="009C7364" w:rsidRDefault="004C45CD" w:rsidP="00F449BB">
            <w:pPr>
              <w:rPr>
                <w:b/>
                <w:bCs/>
                <w:sz w:val="15"/>
                <w:szCs w:val="15"/>
              </w:rPr>
            </w:pPr>
            <w:r w:rsidRPr="009C7364">
              <w:rPr>
                <w:sz w:val="15"/>
                <w:szCs w:val="15"/>
              </w:rPr>
              <w:t xml:space="preserve"> Munster</w:t>
            </w:r>
          </w:p>
        </w:tc>
        <w:tc>
          <w:tcPr>
            <w:tcW w:w="1773" w:type="dxa"/>
            <w:vAlign w:val="center"/>
          </w:tcPr>
          <w:p w14:paraId="39F46555" w14:textId="52E88D37" w:rsidR="004C45CD" w:rsidRPr="00370A8C" w:rsidRDefault="00370A8C" w:rsidP="00F449BB">
            <w:pPr>
              <w:jc w:val="center"/>
              <w:rPr>
                <w:sz w:val="15"/>
                <w:szCs w:val="15"/>
                <w:vertAlign w:val="superscript"/>
              </w:rPr>
            </w:pPr>
            <w:r>
              <w:rPr>
                <w:sz w:val="15"/>
                <w:szCs w:val="15"/>
              </w:rPr>
              <w:t>0.018</w:t>
            </w:r>
            <w:r>
              <w:rPr>
                <w:sz w:val="15"/>
                <w:szCs w:val="15"/>
                <w:vertAlign w:val="superscript"/>
              </w:rPr>
              <w:t>+</w:t>
            </w:r>
          </w:p>
          <w:p w14:paraId="5E1E8C22" w14:textId="4010786C" w:rsidR="00370A8C" w:rsidRPr="009C7364" w:rsidRDefault="00370A8C" w:rsidP="00F449BB">
            <w:pPr>
              <w:jc w:val="center"/>
              <w:rPr>
                <w:sz w:val="15"/>
                <w:szCs w:val="15"/>
              </w:rPr>
            </w:pPr>
            <w:r>
              <w:rPr>
                <w:sz w:val="15"/>
                <w:szCs w:val="15"/>
              </w:rPr>
              <w:t>(0.010)</w:t>
            </w:r>
          </w:p>
        </w:tc>
        <w:tc>
          <w:tcPr>
            <w:tcW w:w="1984" w:type="dxa"/>
            <w:tcBorders>
              <w:right w:val="single" w:sz="4" w:space="0" w:color="auto"/>
            </w:tcBorders>
            <w:vAlign w:val="center"/>
          </w:tcPr>
          <w:p w14:paraId="4333FF65" w14:textId="77777777" w:rsidR="004C45CD" w:rsidRDefault="008A293C" w:rsidP="00F449BB">
            <w:pPr>
              <w:jc w:val="center"/>
              <w:rPr>
                <w:sz w:val="15"/>
                <w:szCs w:val="15"/>
              </w:rPr>
            </w:pPr>
            <w:r>
              <w:rPr>
                <w:sz w:val="15"/>
                <w:szCs w:val="15"/>
              </w:rPr>
              <w:t>0.024</w:t>
            </w:r>
          </w:p>
          <w:p w14:paraId="04BFBE3D" w14:textId="48A16C92" w:rsidR="008A293C" w:rsidRPr="00636169" w:rsidRDefault="008A293C" w:rsidP="00F449BB">
            <w:pPr>
              <w:jc w:val="center"/>
              <w:rPr>
                <w:sz w:val="15"/>
                <w:szCs w:val="15"/>
              </w:rPr>
            </w:pPr>
            <w:r>
              <w:rPr>
                <w:sz w:val="15"/>
                <w:szCs w:val="15"/>
              </w:rPr>
              <w:t>(0.009)</w:t>
            </w:r>
          </w:p>
        </w:tc>
        <w:tc>
          <w:tcPr>
            <w:tcW w:w="1560" w:type="dxa"/>
            <w:tcBorders>
              <w:left w:val="single" w:sz="4" w:space="0" w:color="auto"/>
            </w:tcBorders>
            <w:vAlign w:val="center"/>
          </w:tcPr>
          <w:p w14:paraId="44CF9A2D" w14:textId="77777777" w:rsidR="004C45CD" w:rsidRDefault="00A60610" w:rsidP="00F449BB">
            <w:pPr>
              <w:jc w:val="center"/>
              <w:rPr>
                <w:sz w:val="15"/>
                <w:szCs w:val="15"/>
              </w:rPr>
            </w:pPr>
            <w:r>
              <w:rPr>
                <w:sz w:val="15"/>
                <w:szCs w:val="15"/>
              </w:rPr>
              <w:t>-0.013</w:t>
            </w:r>
          </w:p>
          <w:p w14:paraId="3E010EAB" w14:textId="14065843" w:rsidR="00A60610" w:rsidRPr="00636169" w:rsidRDefault="00A60610" w:rsidP="00F449BB">
            <w:pPr>
              <w:jc w:val="center"/>
              <w:rPr>
                <w:sz w:val="15"/>
                <w:szCs w:val="15"/>
              </w:rPr>
            </w:pPr>
            <w:r>
              <w:rPr>
                <w:sz w:val="15"/>
                <w:szCs w:val="15"/>
              </w:rPr>
              <w:t>(0.01</w:t>
            </w:r>
            <w:r w:rsidR="00544E88">
              <w:rPr>
                <w:sz w:val="15"/>
                <w:szCs w:val="15"/>
              </w:rPr>
              <w:t>6)</w:t>
            </w:r>
          </w:p>
        </w:tc>
        <w:tc>
          <w:tcPr>
            <w:tcW w:w="1557" w:type="dxa"/>
            <w:vAlign w:val="center"/>
          </w:tcPr>
          <w:p w14:paraId="028E2AAC" w14:textId="4BC5DB61" w:rsidR="004C45CD" w:rsidRDefault="00E000C2" w:rsidP="00F449BB">
            <w:pPr>
              <w:jc w:val="center"/>
              <w:rPr>
                <w:sz w:val="15"/>
                <w:szCs w:val="15"/>
              </w:rPr>
            </w:pPr>
            <w:r>
              <w:rPr>
                <w:sz w:val="15"/>
                <w:szCs w:val="15"/>
              </w:rPr>
              <w:t>0.00</w:t>
            </w:r>
            <w:r w:rsidR="000024DB">
              <w:rPr>
                <w:sz w:val="15"/>
                <w:szCs w:val="15"/>
              </w:rPr>
              <w:t>07</w:t>
            </w:r>
          </w:p>
          <w:p w14:paraId="1687FF53" w14:textId="33570F22" w:rsidR="00E000C2" w:rsidRPr="00636169" w:rsidRDefault="00E000C2" w:rsidP="00F449BB">
            <w:pPr>
              <w:jc w:val="center"/>
              <w:rPr>
                <w:sz w:val="15"/>
                <w:szCs w:val="15"/>
              </w:rPr>
            </w:pPr>
            <w:r>
              <w:rPr>
                <w:sz w:val="15"/>
                <w:szCs w:val="15"/>
              </w:rPr>
              <w:t>(0.</w:t>
            </w:r>
            <w:r w:rsidR="000024DB">
              <w:rPr>
                <w:sz w:val="15"/>
                <w:szCs w:val="15"/>
              </w:rPr>
              <w:t>015</w:t>
            </w:r>
            <w:r>
              <w:rPr>
                <w:sz w:val="15"/>
                <w:szCs w:val="15"/>
              </w:rPr>
              <w:t>)</w:t>
            </w:r>
          </w:p>
        </w:tc>
        <w:tc>
          <w:tcPr>
            <w:tcW w:w="239" w:type="dxa"/>
          </w:tcPr>
          <w:p w14:paraId="7A5AE2B9" w14:textId="77777777" w:rsidR="004C45CD" w:rsidRPr="00636169" w:rsidRDefault="004C45CD" w:rsidP="00F449BB">
            <w:pPr>
              <w:jc w:val="center"/>
              <w:rPr>
                <w:sz w:val="16"/>
                <w:szCs w:val="16"/>
              </w:rPr>
            </w:pPr>
          </w:p>
        </w:tc>
      </w:tr>
      <w:tr w:rsidR="004C45CD" w:rsidRPr="00636169" w14:paraId="2AC413FB" w14:textId="77777777" w:rsidTr="00F449BB">
        <w:trPr>
          <w:gridAfter w:val="1"/>
          <w:wAfter w:w="1560" w:type="dxa"/>
        </w:trPr>
        <w:tc>
          <w:tcPr>
            <w:tcW w:w="1913" w:type="dxa"/>
            <w:vAlign w:val="center"/>
          </w:tcPr>
          <w:p w14:paraId="4C037B5B" w14:textId="77777777" w:rsidR="004C45CD" w:rsidRPr="009C7364" w:rsidRDefault="004C45CD" w:rsidP="00F449BB">
            <w:pPr>
              <w:rPr>
                <w:b/>
                <w:bCs/>
                <w:sz w:val="15"/>
                <w:szCs w:val="15"/>
              </w:rPr>
            </w:pPr>
            <w:r w:rsidRPr="009C7364">
              <w:rPr>
                <w:sz w:val="15"/>
                <w:szCs w:val="15"/>
              </w:rPr>
              <w:t xml:space="preserve"> Connaught/Ulster</w:t>
            </w:r>
          </w:p>
        </w:tc>
        <w:tc>
          <w:tcPr>
            <w:tcW w:w="1773" w:type="dxa"/>
            <w:vAlign w:val="center"/>
          </w:tcPr>
          <w:p w14:paraId="43524292" w14:textId="77777777" w:rsidR="004C45CD" w:rsidRDefault="007C6074" w:rsidP="00F449BB">
            <w:pPr>
              <w:jc w:val="center"/>
              <w:rPr>
                <w:sz w:val="15"/>
                <w:szCs w:val="15"/>
              </w:rPr>
            </w:pPr>
            <w:r>
              <w:rPr>
                <w:sz w:val="15"/>
                <w:szCs w:val="15"/>
              </w:rPr>
              <w:t>0.0150</w:t>
            </w:r>
          </w:p>
          <w:p w14:paraId="6ADD2467" w14:textId="758DC572" w:rsidR="007C6074" w:rsidRPr="009C7364" w:rsidRDefault="007C6074" w:rsidP="00F449BB">
            <w:pPr>
              <w:jc w:val="center"/>
              <w:rPr>
                <w:sz w:val="15"/>
                <w:szCs w:val="15"/>
              </w:rPr>
            </w:pPr>
            <w:r>
              <w:rPr>
                <w:sz w:val="15"/>
                <w:szCs w:val="15"/>
              </w:rPr>
              <w:t>(0.011)</w:t>
            </w:r>
          </w:p>
        </w:tc>
        <w:tc>
          <w:tcPr>
            <w:tcW w:w="1984" w:type="dxa"/>
            <w:tcBorders>
              <w:right w:val="single" w:sz="4" w:space="0" w:color="auto"/>
            </w:tcBorders>
            <w:vAlign w:val="center"/>
          </w:tcPr>
          <w:p w14:paraId="71B7BD85" w14:textId="77777777" w:rsidR="004C45CD" w:rsidRDefault="008A293C" w:rsidP="00F449BB">
            <w:pPr>
              <w:jc w:val="center"/>
              <w:rPr>
                <w:sz w:val="15"/>
                <w:szCs w:val="15"/>
              </w:rPr>
            </w:pPr>
            <w:r>
              <w:rPr>
                <w:sz w:val="15"/>
                <w:szCs w:val="15"/>
              </w:rPr>
              <w:t>0.020</w:t>
            </w:r>
          </w:p>
          <w:p w14:paraId="2FBE8F69" w14:textId="21909D8A" w:rsidR="008A293C" w:rsidRPr="00636169" w:rsidRDefault="008A293C" w:rsidP="00F449BB">
            <w:pPr>
              <w:jc w:val="center"/>
              <w:rPr>
                <w:sz w:val="15"/>
                <w:szCs w:val="15"/>
              </w:rPr>
            </w:pPr>
            <w:r>
              <w:rPr>
                <w:sz w:val="15"/>
                <w:szCs w:val="15"/>
              </w:rPr>
              <w:t>(0.011)</w:t>
            </w:r>
          </w:p>
        </w:tc>
        <w:tc>
          <w:tcPr>
            <w:tcW w:w="1560" w:type="dxa"/>
            <w:tcBorders>
              <w:left w:val="single" w:sz="4" w:space="0" w:color="auto"/>
            </w:tcBorders>
            <w:vAlign w:val="center"/>
          </w:tcPr>
          <w:p w14:paraId="3688B2EE" w14:textId="77777777" w:rsidR="004C45CD" w:rsidRDefault="00544E88" w:rsidP="00F449BB">
            <w:pPr>
              <w:jc w:val="center"/>
              <w:rPr>
                <w:sz w:val="15"/>
                <w:szCs w:val="15"/>
              </w:rPr>
            </w:pPr>
            <w:r>
              <w:rPr>
                <w:sz w:val="15"/>
                <w:szCs w:val="15"/>
              </w:rPr>
              <w:t>0.010</w:t>
            </w:r>
          </w:p>
          <w:p w14:paraId="0D68B9CE" w14:textId="6D283B02" w:rsidR="00544E88" w:rsidRPr="00636169" w:rsidRDefault="00544E88" w:rsidP="00F449BB">
            <w:pPr>
              <w:jc w:val="center"/>
              <w:rPr>
                <w:sz w:val="15"/>
                <w:szCs w:val="15"/>
              </w:rPr>
            </w:pPr>
            <w:r>
              <w:rPr>
                <w:sz w:val="15"/>
                <w:szCs w:val="15"/>
              </w:rPr>
              <w:t>(0.019)</w:t>
            </w:r>
          </w:p>
        </w:tc>
        <w:tc>
          <w:tcPr>
            <w:tcW w:w="1557" w:type="dxa"/>
            <w:vAlign w:val="center"/>
          </w:tcPr>
          <w:p w14:paraId="49229DDC" w14:textId="59E4F410" w:rsidR="004C45CD" w:rsidRDefault="00E000C2" w:rsidP="00F449BB">
            <w:pPr>
              <w:jc w:val="center"/>
              <w:rPr>
                <w:sz w:val="15"/>
                <w:szCs w:val="15"/>
              </w:rPr>
            </w:pPr>
            <w:r>
              <w:rPr>
                <w:sz w:val="15"/>
                <w:szCs w:val="15"/>
              </w:rPr>
              <w:t>0.</w:t>
            </w:r>
            <w:r w:rsidR="000024DB">
              <w:rPr>
                <w:sz w:val="15"/>
                <w:szCs w:val="15"/>
              </w:rPr>
              <w:t>023</w:t>
            </w:r>
          </w:p>
          <w:p w14:paraId="4ED78BB6" w14:textId="44594E0D" w:rsidR="00E000C2" w:rsidRPr="00636169" w:rsidRDefault="00E000C2" w:rsidP="00F449BB">
            <w:pPr>
              <w:jc w:val="center"/>
              <w:rPr>
                <w:sz w:val="15"/>
                <w:szCs w:val="15"/>
              </w:rPr>
            </w:pPr>
            <w:r>
              <w:rPr>
                <w:sz w:val="15"/>
                <w:szCs w:val="15"/>
              </w:rPr>
              <w:t>(0.</w:t>
            </w:r>
            <w:r w:rsidR="000024DB">
              <w:rPr>
                <w:sz w:val="15"/>
                <w:szCs w:val="15"/>
              </w:rPr>
              <w:t>018</w:t>
            </w:r>
            <w:r>
              <w:rPr>
                <w:sz w:val="15"/>
                <w:szCs w:val="15"/>
              </w:rPr>
              <w:t>)</w:t>
            </w:r>
          </w:p>
        </w:tc>
        <w:tc>
          <w:tcPr>
            <w:tcW w:w="239" w:type="dxa"/>
          </w:tcPr>
          <w:p w14:paraId="3E179BE2" w14:textId="77777777" w:rsidR="004C45CD" w:rsidRPr="00636169" w:rsidRDefault="004C45CD" w:rsidP="00F449BB">
            <w:pPr>
              <w:jc w:val="center"/>
              <w:rPr>
                <w:sz w:val="16"/>
                <w:szCs w:val="16"/>
              </w:rPr>
            </w:pPr>
          </w:p>
        </w:tc>
      </w:tr>
      <w:tr w:rsidR="004C45CD" w:rsidRPr="00636169" w14:paraId="4A77F470" w14:textId="77777777" w:rsidTr="00F449BB">
        <w:tc>
          <w:tcPr>
            <w:tcW w:w="5670" w:type="dxa"/>
            <w:gridSpan w:val="3"/>
            <w:tcBorders>
              <w:right w:val="single" w:sz="4" w:space="0" w:color="auto"/>
            </w:tcBorders>
            <w:vAlign w:val="center"/>
          </w:tcPr>
          <w:p w14:paraId="3F3F46B8" w14:textId="77777777" w:rsidR="004C45CD" w:rsidRPr="00636169" w:rsidRDefault="004C45CD" w:rsidP="00F449BB">
            <w:pPr>
              <w:rPr>
                <w:i/>
                <w:iCs/>
                <w:sz w:val="15"/>
                <w:szCs w:val="15"/>
              </w:rPr>
            </w:pPr>
            <w:r>
              <w:rPr>
                <w:i/>
                <w:iCs/>
                <w:sz w:val="15"/>
                <w:szCs w:val="15"/>
              </w:rPr>
              <w:t>Highest e</w:t>
            </w:r>
            <w:r w:rsidRPr="00636169">
              <w:rPr>
                <w:i/>
                <w:iCs/>
                <w:sz w:val="15"/>
                <w:szCs w:val="15"/>
              </w:rPr>
              <w:t>ducational achievement (Ref: less than Leaving Certificate)</w:t>
            </w:r>
          </w:p>
        </w:tc>
        <w:tc>
          <w:tcPr>
            <w:tcW w:w="1560" w:type="dxa"/>
            <w:tcBorders>
              <w:left w:val="single" w:sz="4" w:space="0" w:color="auto"/>
            </w:tcBorders>
          </w:tcPr>
          <w:p w14:paraId="7988E612" w14:textId="77777777" w:rsidR="004C45CD" w:rsidRPr="00636169" w:rsidRDefault="004C45CD" w:rsidP="00F449BB">
            <w:pPr>
              <w:rPr>
                <w:i/>
                <w:iCs/>
                <w:sz w:val="15"/>
                <w:szCs w:val="15"/>
              </w:rPr>
            </w:pPr>
          </w:p>
        </w:tc>
        <w:tc>
          <w:tcPr>
            <w:tcW w:w="1557" w:type="dxa"/>
          </w:tcPr>
          <w:p w14:paraId="13EF2997" w14:textId="77777777" w:rsidR="004C45CD" w:rsidRPr="00636169" w:rsidRDefault="004C45CD" w:rsidP="00F449BB">
            <w:pPr>
              <w:rPr>
                <w:i/>
                <w:iCs/>
                <w:sz w:val="15"/>
                <w:szCs w:val="15"/>
              </w:rPr>
            </w:pPr>
          </w:p>
        </w:tc>
        <w:tc>
          <w:tcPr>
            <w:tcW w:w="239" w:type="dxa"/>
          </w:tcPr>
          <w:p w14:paraId="591B52CE" w14:textId="77777777" w:rsidR="004C45CD" w:rsidRPr="00636169" w:rsidRDefault="004C45CD" w:rsidP="00F449BB">
            <w:pPr>
              <w:rPr>
                <w:i/>
                <w:iCs/>
                <w:sz w:val="16"/>
                <w:szCs w:val="16"/>
              </w:rPr>
            </w:pPr>
          </w:p>
        </w:tc>
        <w:tc>
          <w:tcPr>
            <w:tcW w:w="1560" w:type="dxa"/>
          </w:tcPr>
          <w:p w14:paraId="08449795" w14:textId="77777777" w:rsidR="004C45CD" w:rsidRPr="00636169" w:rsidRDefault="004C45CD" w:rsidP="00F449BB"/>
        </w:tc>
      </w:tr>
      <w:tr w:rsidR="004C45CD" w:rsidRPr="00636169" w14:paraId="505FBE71" w14:textId="77777777" w:rsidTr="00F449BB">
        <w:trPr>
          <w:gridAfter w:val="1"/>
          <w:wAfter w:w="1560" w:type="dxa"/>
        </w:trPr>
        <w:tc>
          <w:tcPr>
            <w:tcW w:w="1913" w:type="dxa"/>
            <w:vAlign w:val="center"/>
          </w:tcPr>
          <w:p w14:paraId="76E94733" w14:textId="77777777" w:rsidR="004C45CD" w:rsidRPr="009C7364" w:rsidRDefault="004C45CD" w:rsidP="00F449BB">
            <w:pPr>
              <w:rPr>
                <w:b/>
                <w:bCs/>
                <w:sz w:val="15"/>
                <w:szCs w:val="15"/>
              </w:rPr>
            </w:pPr>
            <w:r w:rsidRPr="009C7364">
              <w:rPr>
                <w:sz w:val="15"/>
                <w:szCs w:val="15"/>
              </w:rPr>
              <w:t xml:space="preserve"> Leaving Certificate</w:t>
            </w:r>
          </w:p>
        </w:tc>
        <w:tc>
          <w:tcPr>
            <w:tcW w:w="1773" w:type="dxa"/>
            <w:vAlign w:val="center"/>
          </w:tcPr>
          <w:p w14:paraId="2C73A2AC" w14:textId="77777777" w:rsidR="004C45CD" w:rsidRDefault="007C6074" w:rsidP="00F449BB">
            <w:pPr>
              <w:jc w:val="center"/>
              <w:rPr>
                <w:sz w:val="15"/>
                <w:szCs w:val="15"/>
              </w:rPr>
            </w:pPr>
            <w:r>
              <w:rPr>
                <w:sz w:val="15"/>
                <w:szCs w:val="15"/>
              </w:rPr>
              <w:t>-0.006</w:t>
            </w:r>
          </w:p>
          <w:p w14:paraId="0E4150F7" w14:textId="29DA481C" w:rsidR="007C6074" w:rsidRPr="009C7364" w:rsidRDefault="007C6074" w:rsidP="00F449BB">
            <w:pPr>
              <w:jc w:val="center"/>
              <w:rPr>
                <w:sz w:val="15"/>
                <w:szCs w:val="15"/>
              </w:rPr>
            </w:pPr>
            <w:r>
              <w:rPr>
                <w:sz w:val="15"/>
                <w:szCs w:val="15"/>
              </w:rPr>
              <w:t>(0.010)</w:t>
            </w:r>
          </w:p>
        </w:tc>
        <w:tc>
          <w:tcPr>
            <w:tcW w:w="1984" w:type="dxa"/>
            <w:tcBorders>
              <w:right w:val="single" w:sz="4" w:space="0" w:color="auto"/>
            </w:tcBorders>
            <w:vAlign w:val="center"/>
          </w:tcPr>
          <w:p w14:paraId="3A58864A" w14:textId="77777777" w:rsidR="004C45CD" w:rsidRDefault="000766FF" w:rsidP="00F449BB">
            <w:pPr>
              <w:jc w:val="center"/>
              <w:rPr>
                <w:sz w:val="15"/>
                <w:szCs w:val="15"/>
              </w:rPr>
            </w:pPr>
            <w:r>
              <w:rPr>
                <w:sz w:val="15"/>
                <w:szCs w:val="15"/>
              </w:rPr>
              <w:t>-0.005</w:t>
            </w:r>
          </w:p>
          <w:p w14:paraId="76780FFE" w14:textId="229681C1" w:rsidR="000766FF" w:rsidRPr="00636169" w:rsidRDefault="000766FF" w:rsidP="00F449BB">
            <w:pPr>
              <w:jc w:val="center"/>
              <w:rPr>
                <w:sz w:val="15"/>
                <w:szCs w:val="15"/>
              </w:rPr>
            </w:pPr>
            <w:r>
              <w:rPr>
                <w:sz w:val="15"/>
                <w:szCs w:val="15"/>
              </w:rPr>
              <w:t>(0.010)</w:t>
            </w:r>
          </w:p>
        </w:tc>
        <w:tc>
          <w:tcPr>
            <w:tcW w:w="1560" w:type="dxa"/>
            <w:tcBorders>
              <w:left w:val="single" w:sz="4" w:space="0" w:color="auto"/>
            </w:tcBorders>
            <w:vAlign w:val="center"/>
          </w:tcPr>
          <w:p w14:paraId="0228F064" w14:textId="77777777" w:rsidR="004C45CD" w:rsidRDefault="00544E88" w:rsidP="00F449BB">
            <w:pPr>
              <w:jc w:val="center"/>
              <w:rPr>
                <w:sz w:val="15"/>
                <w:szCs w:val="15"/>
              </w:rPr>
            </w:pPr>
            <w:r>
              <w:rPr>
                <w:sz w:val="15"/>
                <w:szCs w:val="15"/>
              </w:rPr>
              <w:t>0.001</w:t>
            </w:r>
          </w:p>
          <w:p w14:paraId="67B94435" w14:textId="49447B94" w:rsidR="00544E88" w:rsidRPr="00636169" w:rsidRDefault="00544E88" w:rsidP="00F449BB">
            <w:pPr>
              <w:jc w:val="center"/>
              <w:rPr>
                <w:sz w:val="15"/>
                <w:szCs w:val="15"/>
              </w:rPr>
            </w:pPr>
            <w:r>
              <w:rPr>
                <w:sz w:val="15"/>
                <w:szCs w:val="15"/>
              </w:rPr>
              <w:t>(0.017)</w:t>
            </w:r>
          </w:p>
        </w:tc>
        <w:tc>
          <w:tcPr>
            <w:tcW w:w="1557" w:type="dxa"/>
            <w:vAlign w:val="center"/>
          </w:tcPr>
          <w:p w14:paraId="0A8C4108" w14:textId="63DF233D" w:rsidR="004C45CD" w:rsidRDefault="00BB3EEF" w:rsidP="00F449BB">
            <w:pPr>
              <w:jc w:val="center"/>
              <w:rPr>
                <w:sz w:val="15"/>
                <w:szCs w:val="15"/>
              </w:rPr>
            </w:pPr>
            <w:r>
              <w:rPr>
                <w:sz w:val="15"/>
                <w:szCs w:val="15"/>
              </w:rPr>
              <w:t>0.0</w:t>
            </w:r>
            <w:r w:rsidR="00364E22">
              <w:rPr>
                <w:sz w:val="15"/>
                <w:szCs w:val="15"/>
              </w:rPr>
              <w:t>05</w:t>
            </w:r>
          </w:p>
          <w:p w14:paraId="7BD208BB" w14:textId="45B61F49" w:rsidR="00BB3EEF" w:rsidRPr="00636169" w:rsidRDefault="00BB3EEF" w:rsidP="00F449BB">
            <w:pPr>
              <w:jc w:val="center"/>
              <w:rPr>
                <w:sz w:val="15"/>
                <w:szCs w:val="15"/>
              </w:rPr>
            </w:pPr>
            <w:r>
              <w:rPr>
                <w:sz w:val="15"/>
                <w:szCs w:val="15"/>
              </w:rPr>
              <w:t>(0.</w:t>
            </w:r>
            <w:r w:rsidR="00364E22">
              <w:rPr>
                <w:sz w:val="15"/>
                <w:szCs w:val="15"/>
              </w:rPr>
              <w:t>016</w:t>
            </w:r>
            <w:r>
              <w:rPr>
                <w:sz w:val="15"/>
                <w:szCs w:val="15"/>
              </w:rPr>
              <w:t>)</w:t>
            </w:r>
          </w:p>
        </w:tc>
        <w:tc>
          <w:tcPr>
            <w:tcW w:w="239" w:type="dxa"/>
          </w:tcPr>
          <w:p w14:paraId="43A5F2C8" w14:textId="77777777" w:rsidR="004C45CD" w:rsidRPr="00636169" w:rsidRDefault="004C45CD" w:rsidP="00F449BB">
            <w:pPr>
              <w:jc w:val="center"/>
              <w:rPr>
                <w:sz w:val="16"/>
                <w:szCs w:val="16"/>
              </w:rPr>
            </w:pPr>
          </w:p>
        </w:tc>
      </w:tr>
      <w:tr w:rsidR="004C45CD" w:rsidRPr="00636169" w14:paraId="6B74AACD" w14:textId="77777777" w:rsidTr="00F449BB">
        <w:trPr>
          <w:gridAfter w:val="1"/>
          <w:wAfter w:w="1560" w:type="dxa"/>
        </w:trPr>
        <w:tc>
          <w:tcPr>
            <w:tcW w:w="1913" w:type="dxa"/>
            <w:vAlign w:val="center"/>
          </w:tcPr>
          <w:p w14:paraId="0419E273" w14:textId="77777777" w:rsidR="004C45CD" w:rsidRPr="009C7364" w:rsidRDefault="004C45CD" w:rsidP="00F449BB">
            <w:pPr>
              <w:rPr>
                <w:sz w:val="15"/>
                <w:szCs w:val="15"/>
              </w:rPr>
            </w:pPr>
            <w:r w:rsidRPr="009C7364">
              <w:rPr>
                <w:sz w:val="15"/>
                <w:szCs w:val="15"/>
              </w:rPr>
              <w:t xml:space="preserve"> Degree (graduate/postgraduate)</w:t>
            </w:r>
          </w:p>
        </w:tc>
        <w:tc>
          <w:tcPr>
            <w:tcW w:w="1773" w:type="dxa"/>
            <w:vAlign w:val="center"/>
          </w:tcPr>
          <w:p w14:paraId="5C4E41E8" w14:textId="77777777" w:rsidR="004C45CD" w:rsidRDefault="007C6074" w:rsidP="00F449BB">
            <w:pPr>
              <w:jc w:val="center"/>
              <w:rPr>
                <w:sz w:val="15"/>
                <w:szCs w:val="15"/>
              </w:rPr>
            </w:pPr>
            <w:r>
              <w:rPr>
                <w:sz w:val="15"/>
                <w:szCs w:val="15"/>
              </w:rPr>
              <w:t>-0.000</w:t>
            </w:r>
            <w:r w:rsidR="00563A94">
              <w:rPr>
                <w:sz w:val="15"/>
                <w:szCs w:val="15"/>
              </w:rPr>
              <w:t>7</w:t>
            </w:r>
          </w:p>
          <w:p w14:paraId="59BC475A" w14:textId="552AE9B4" w:rsidR="00563A94" w:rsidRPr="009C7364" w:rsidRDefault="00563A94" w:rsidP="00F449BB">
            <w:pPr>
              <w:jc w:val="center"/>
              <w:rPr>
                <w:sz w:val="15"/>
                <w:szCs w:val="15"/>
              </w:rPr>
            </w:pPr>
            <w:r>
              <w:rPr>
                <w:sz w:val="15"/>
                <w:szCs w:val="15"/>
              </w:rPr>
              <w:t>(0.011)</w:t>
            </w:r>
          </w:p>
        </w:tc>
        <w:tc>
          <w:tcPr>
            <w:tcW w:w="1984" w:type="dxa"/>
            <w:tcBorders>
              <w:right w:val="single" w:sz="4" w:space="0" w:color="auto"/>
            </w:tcBorders>
            <w:vAlign w:val="center"/>
          </w:tcPr>
          <w:p w14:paraId="789D42BD" w14:textId="77777777" w:rsidR="004C45CD" w:rsidRDefault="000766FF" w:rsidP="00F449BB">
            <w:pPr>
              <w:jc w:val="center"/>
              <w:rPr>
                <w:sz w:val="15"/>
                <w:szCs w:val="15"/>
              </w:rPr>
            </w:pPr>
            <w:r>
              <w:rPr>
                <w:sz w:val="15"/>
                <w:szCs w:val="15"/>
              </w:rPr>
              <w:t>0.006</w:t>
            </w:r>
          </w:p>
          <w:p w14:paraId="4C2545E3" w14:textId="62364AD3" w:rsidR="000766FF" w:rsidRPr="00636169" w:rsidRDefault="000766FF" w:rsidP="00F449BB">
            <w:pPr>
              <w:jc w:val="center"/>
              <w:rPr>
                <w:sz w:val="15"/>
                <w:szCs w:val="15"/>
              </w:rPr>
            </w:pPr>
            <w:r>
              <w:rPr>
                <w:sz w:val="15"/>
                <w:szCs w:val="15"/>
              </w:rPr>
              <w:t>(0.011)</w:t>
            </w:r>
          </w:p>
        </w:tc>
        <w:tc>
          <w:tcPr>
            <w:tcW w:w="1560" w:type="dxa"/>
            <w:tcBorders>
              <w:left w:val="single" w:sz="4" w:space="0" w:color="auto"/>
            </w:tcBorders>
            <w:vAlign w:val="center"/>
          </w:tcPr>
          <w:p w14:paraId="24C12EFA" w14:textId="77777777" w:rsidR="004C45CD" w:rsidRDefault="00544E88" w:rsidP="00F449BB">
            <w:pPr>
              <w:jc w:val="center"/>
              <w:rPr>
                <w:sz w:val="15"/>
                <w:szCs w:val="15"/>
              </w:rPr>
            </w:pPr>
            <w:r>
              <w:rPr>
                <w:sz w:val="15"/>
                <w:szCs w:val="15"/>
              </w:rPr>
              <w:t>-0.020</w:t>
            </w:r>
          </w:p>
          <w:p w14:paraId="39A6053B" w14:textId="1F8A069D" w:rsidR="00544E88" w:rsidRPr="00636169" w:rsidRDefault="00544E88" w:rsidP="00F449BB">
            <w:pPr>
              <w:jc w:val="center"/>
              <w:rPr>
                <w:sz w:val="15"/>
                <w:szCs w:val="15"/>
              </w:rPr>
            </w:pPr>
            <w:r>
              <w:rPr>
                <w:sz w:val="15"/>
                <w:szCs w:val="15"/>
              </w:rPr>
              <w:t>(0.018)</w:t>
            </w:r>
          </w:p>
        </w:tc>
        <w:tc>
          <w:tcPr>
            <w:tcW w:w="1557" w:type="dxa"/>
            <w:vAlign w:val="center"/>
          </w:tcPr>
          <w:p w14:paraId="76EC9773" w14:textId="52443EB9" w:rsidR="004C45CD" w:rsidRDefault="00BB3EEF" w:rsidP="00F449BB">
            <w:pPr>
              <w:jc w:val="center"/>
              <w:rPr>
                <w:sz w:val="15"/>
                <w:szCs w:val="15"/>
              </w:rPr>
            </w:pPr>
            <w:r>
              <w:rPr>
                <w:sz w:val="15"/>
                <w:szCs w:val="15"/>
              </w:rPr>
              <w:t>-0.0</w:t>
            </w:r>
            <w:r w:rsidR="0055594D">
              <w:rPr>
                <w:sz w:val="15"/>
                <w:szCs w:val="15"/>
              </w:rPr>
              <w:t>08</w:t>
            </w:r>
          </w:p>
          <w:p w14:paraId="399D10DD" w14:textId="4498F77F" w:rsidR="00BB3EEF" w:rsidRPr="00636169" w:rsidRDefault="00BB3EEF" w:rsidP="00F449BB">
            <w:pPr>
              <w:jc w:val="center"/>
              <w:rPr>
                <w:sz w:val="15"/>
                <w:szCs w:val="15"/>
              </w:rPr>
            </w:pPr>
            <w:r>
              <w:rPr>
                <w:sz w:val="15"/>
                <w:szCs w:val="15"/>
              </w:rPr>
              <w:t>(0.</w:t>
            </w:r>
            <w:r w:rsidR="0055594D">
              <w:rPr>
                <w:sz w:val="15"/>
                <w:szCs w:val="15"/>
              </w:rPr>
              <w:t>017</w:t>
            </w:r>
            <w:r>
              <w:rPr>
                <w:sz w:val="15"/>
                <w:szCs w:val="15"/>
              </w:rPr>
              <w:t>)</w:t>
            </w:r>
          </w:p>
        </w:tc>
        <w:tc>
          <w:tcPr>
            <w:tcW w:w="239" w:type="dxa"/>
          </w:tcPr>
          <w:p w14:paraId="599CB265" w14:textId="77777777" w:rsidR="004C45CD" w:rsidRPr="00636169" w:rsidRDefault="004C45CD" w:rsidP="00F449BB">
            <w:pPr>
              <w:jc w:val="center"/>
              <w:rPr>
                <w:sz w:val="16"/>
                <w:szCs w:val="16"/>
              </w:rPr>
            </w:pPr>
          </w:p>
        </w:tc>
      </w:tr>
      <w:tr w:rsidR="004C45CD" w:rsidRPr="00636169" w14:paraId="3F9221AD" w14:textId="77777777" w:rsidTr="00F449BB">
        <w:trPr>
          <w:gridAfter w:val="1"/>
          <w:wAfter w:w="1560" w:type="dxa"/>
        </w:trPr>
        <w:tc>
          <w:tcPr>
            <w:tcW w:w="1913" w:type="dxa"/>
            <w:tcBorders>
              <w:bottom w:val="nil"/>
            </w:tcBorders>
            <w:vAlign w:val="center"/>
          </w:tcPr>
          <w:p w14:paraId="75C959B4" w14:textId="77777777" w:rsidR="004C45CD" w:rsidRPr="009C7364" w:rsidRDefault="004C45CD" w:rsidP="00F449BB">
            <w:pPr>
              <w:rPr>
                <w:sz w:val="15"/>
                <w:szCs w:val="15"/>
              </w:rPr>
            </w:pPr>
            <w:r w:rsidRPr="009C7364">
              <w:rPr>
                <w:sz w:val="15"/>
                <w:szCs w:val="15"/>
              </w:rPr>
              <w:t>Participate in social groups</w:t>
            </w:r>
          </w:p>
        </w:tc>
        <w:tc>
          <w:tcPr>
            <w:tcW w:w="1773" w:type="dxa"/>
            <w:tcBorders>
              <w:bottom w:val="nil"/>
            </w:tcBorders>
            <w:vAlign w:val="center"/>
          </w:tcPr>
          <w:p w14:paraId="7DD1B0B4" w14:textId="77777777" w:rsidR="004C45CD" w:rsidRDefault="00563A94" w:rsidP="00F449BB">
            <w:pPr>
              <w:jc w:val="center"/>
              <w:rPr>
                <w:sz w:val="15"/>
                <w:szCs w:val="15"/>
              </w:rPr>
            </w:pPr>
            <w:r>
              <w:rPr>
                <w:sz w:val="15"/>
                <w:szCs w:val="15"/>
              </w:rPr>
              <w:t>-0.008</w:t>
            </w:r>
          </w:p>
          <w:p w14:paraId="6FA777C2" w14:textId="21C430D1" w:rsidR="00563A94" w:rsidRPr="009C7364" w:rsidRDefault="00563A94" w:rsidP="00F449BB">
            <w:pPr>
              <w:jc w:val="center"/>
              <w:rPr>
                <w:sz w:val="15"/>
                <w:szCs w:val="15"/>
              </w:rPr>
            </w:pPr>
            <w:r>
              <w:rPr>
                <w:sz w:val="15"/>
                <w:szCs w:val="15"/>
              </w:rPr>
              <w:t>(0.009)</w:t>
            </w:r>
          </w:p>
        </w:tc>
        <w:tc>
          <w:tcPr>
            <w:tcW w:w="1984" w:type="dxa"/>
            <w:tcBorders>
              <w:bottom w:val="nil"/>
              <w:right w:val="single" w:sz="4" w:space="0" w:color="auto"/>
            </w:tcBorders>
            <w:vAlign w:val="center"/>
          </w:tcPr>
          <w:p w14:paraId="4E066F32" w14:textId="77777777" w:rsidR="004C45CD" w:rsidRDefault="000766FF" w:rsidP="00F449BB">
            <w:pPr>
              <w:jc w:val="center"/>
              <w:rPr>
                <w:sz w:val="15"/>
                <w:szCs w:val="15"/>
              </w:rPr>
            </w:pPr>
            <w:r>
              <w:rPr>
                <w:sz w:val="15"/>
                <w:szCs w:val="15"/>
              </w:rPr>
              <w:t>-0.006</w:t>
            </w:r>
          </w:p>
          <w:p w14:paraId="4B6DA0D2" w14:textId="718EA5E8" w:rsidR="000766FF" w:rsidRPr="00636169" w:rsidRDefault="000766FF" w:rsidP="00F449BB">
            <w:pPr>
              <w:jc w:val="center"/>
              <w:rPr>
                <w:sz w:val="15"/>
                <w:szCs w:val="15"/>
              </w:rPr>
            </w:pPr>
            <w:r>
              <w:rPr>
                <w:sz w:val="15"/>
                <w:szCs w:val="15"/>
              </w:rPr>
              <w:t>(0.009)</w:t>
            </w:r>
          </w:p>
        </w:tc>
        <w:tc>
          <w:tcPr>
            <w:tcW w:w="1560" w:type="dxa"/>
            <w:tcBorders>
              <w:left w:val="single" w:sz="4" w:space="0" w:color="auto"/>
              <w:bottom w:val="nil"/>
            </w:tcBorders>
            <w:vAlign w:val="center"/>
          </w:tcPr>
          <w:p w14:paraId="2ED15912" w14:textId="77777777" w:rsidR="00F107B5" w:rsidRDefault="00F107B5" w:rsidP="00F107B5">
            <w:pPr>
              <w:jc w:val="center"/>
              <w:rPr>
                <w:sz w:val="15"/>
                <w:szCs w:val="15"/>
              </w:rPr>
            </w:pPr>
            <w:r>
              <w:rPr>
                <w:sz w:val="15"/>
                <w:szCs w:val="15"/>
              </w:rPr>
              <w:t>-0.008</w:t>
            </w:r>
          </w:p>
          <w:p w14:paraId="17F73D3D" w14:textId="0E62A52C" w:rsidR="00F107B5" w:rsidRPr="00636169" w:rsidRDefault="00F107B5" w:rsidP="00F107B5">
            <w:pPr>
              <w:jc w:val="center"/>
              <w:rPr>
                <w:sz w:val="15"/>
                <w:szCs w:val="15"/>
              </w:rPr>
            </w:pPr>
            <w:r>
              <w:rPr>
                <w:sz w:val="15"/>
                <w:szCs w:val="15"/>
              </w:rPr>
              <w:t>(0.015)</w:t>
            </w:r>
          </w:p>
        </w:tc>
        <w:tc>
          <w:tcPr>
            <w:tcW w:w="1557" w:type="dxa"/>
            <w:tcBorders>
              <w:bottom w:val="nil"/>
            </w:tcBorders>
            <w:vAlign w:val="center"/>
          </w:tcPr>
          <w:p w14:paraId="4399E3BA" w14:textId="0374A225" w:rsidR="004C45CD" w:rsidRDefault="00BB3EEF" w:rsidP="00F449BB">
            <w:pPr>
              <w:jc w:val="center"/>
              <w:rPr>
                <w:sz w:val="15"/>
                <w:szCs w:val="15"/>
              </w:rPr>
            </w:pPr>
            <w:r>
              <w:rPr>
                <w:sz w:val="15"/>
                <w:szCs w:val="15"/>
              </w:rPr>
              <w:t>-0.0</w:t>
            </w:r>
            <w:r w:rsidR="0055594D">
              <w:rPr>
                <w:sz w:val="15"/>
                <w:szCs w:val="15"/>
              </w:rPr>
              <w:t>03</w:t>
            </w:r>
          </w:p>
          <w:p w14:paraId="0E230800" w14:textId="0E82AE81" w:rsidR="00D87FBB" w:rsidRPr="00636169" w:rsidRDefault="00D87FBB" w:rsidP="00F449BB">
            <w:pPr>
              <w:jc w:val="center"/>
              <w:rPr>
                <w:sz w:val="15"/>
                <w:szCs w:val="15"/>
              </w:rPr>
            </w:pPr>
            <w:r>
              <w:rPr>
                <w:sz w:val="15"/>
                <w:szCs w:val="15"/>
              </w:rPr>
              <w:t>(0.</w:t>
            </w:r>
            <w:r w:rsidR="0055594D">
              <w:rPr>
                <w:sz w:val="15"/>
                <w:szCs w:val="15"/>
              </w:rPr>
              <w:t>014</w:t>
            </w:r>
            <w:r>
              <w:rPr>
                <w:sz w:val="15"/>
                <w:szCs w:val="15"/>
              </w:rPr>
              <w:t>)</w:t>
            </w:r>
          </w:p>
        </w:tc>
        <w:tc>
          <w:tcPr>
            <w:tcW w:w="239" w:type="dxa"/>
            <w:tcBorders>
              <w:bottom w:val="nil"/>
            </w:tcBorders>
          </w:tcPr>
          <w:p w14:paraId="70F69A80" w14:textId="77777777" w:rsidR="004C45CD" w:rsidRPr="00636169" w:rsidRDefault="004C45CD" w:rsidP="00F449BB">
            <w:pPr>
              <w:jc w:val="center"/>
              <w:rPr>
                <w:sz w:val="16"/>
                <w:szCs w:val="16"/>
              </w:rPr>
            </w:pPr>
          </w:p>
        </w:tc>
      </w:tr>
      <w:tr w:rsidR="004C45CD" w:rsidRPr="00636169" w14:paraId="5ACA4D65" w14:textId="77777777" w:rsidTr="00F449BB">
        <w:trPr>
          <w:gridAfter w:val="1"/>
          <w:wAfter w:w="1560" w:type="dxa"/>
        </w:trPr>
        <w:tc>
          <w:tcPr>
            <w:tcW w:w="1913" w:type="dxa"/>
            <w:tcBorders>
              <w:top w:val="nil"/>
              <w:bottom w:val="nil"/>
            </w:tcBorders>
            <w:vAlign w:val="center"/>
          </w:tcPr>
          <w:p w14:paraId="6422C961" w14:textId="77777777" w:rsidR="004C45CD" w:rsidRPr="009C7364" w:rsidRDefault="004C45CD" w:rsidP="00F449BB">
            <w:pPr>
              <w:rPr>
                <w:sz w:val="15"/>
                <w:szCs w:val="15"/>
              </w:rPr>
            </w:pPr>
            <w:r w:rsidRPr="009C7364">
              <w:rPr>
                <w:sz w:val="15"/>
                <w:szCs w:val="15"/>
              </w:rPr>
              <w:t xml:space="preserve">Few people to count on </w:t>
            </w:r>
          </w:p>
        </w:tc>
        <w:tc>
          <w:tcPr>
            <w:tcW w:w="1773" w:type="dxa"/>
            <w:tcBorders>
              <w:top w:val="nil"/>
              <w:bottom w:val="nil"/>
            </w:tcBorders>
            <w:vAlign w:val="center"/>
          </w:tcPr>
          <w:p w14:paraId="7E73E163" w14:textId="4AFD3A0A" w:rsidR="004C45CD" w:rsidRDefault="00563A94" w:rsidP="00F449BB">
            <w:pPr>
              <w:jc w:val="center"/>
              <w:rPr>
                <w:sz w:val="15"/>
                <w:szCs w:val="15"/>
              </w:rPr>
            </w:pPr>
            <w:r>
              <w:rPr>
                <w:sz w:val="15"/>
                <w:szCs w:val="15"/>
              </w:rPr>
              <w:t>0.041***</w:t>
            </w:r>
          </w:p>
          <w:p w14:paraId="4CD091C0" w14:textId="007FB58B" w:rsidR="00563A94" w:rsidRPr="009C7364" w:rsidRDefault="00563A94" w:rsidP="00F449BB">
            <w:pPr>
              <w:jc w:val="center"/>
              <w:rPr>
                <w:sz w:val="15"/>
                <w:szCs w:val="15"/>
              </w:rPr>
            </w:pPr>
            <w:r>
              <w:rPr>
                <w:sz w:val="15"/>
                <w:szCs w:val="15"/>
              </w:rPr>
              <w:t>(0.009)</w:t>
            </w:r>
          </w:p>
        </w:tc>
        <w:tc>
          <w:tcPr>
            <w:tcW w:w="1984" w:type="dxa"/>
            <w:tcBorders>
              <w:top w:val="nil"/>
              <w:bottom w:val="nil"/>
              <w:right w:val="single" w:sz="4" w:space="0" w:color="auto"/>
            </w:tcBorders>
            <w:vAlign w:val="center"/>
          </w:tcPr>
          <w:p w14:paraId="7CC1E133" w14:textId="1EC57A8D" w:rsidR="004C45CD" w:rsidRDefault="000766FF" w:rsidP="00F449BB">
            <w:pPr>
              <w:jc w:val="center"/>
              <w:rPr>
                <w:sz w:val="15"/>
                <w:szCs w:val="15"/>
              </w:rPr>
            </w:pPr>
            <w:r>
              <w:rPr>
                <w:sz w:val="15"/>
                <w:szCs w:val="15"/>
              </w:rPr>
              <w:t>0.0</w:t>
            </w:r>
            <w:r w:rsidR="00B576E1">
              <w:rPr>
                <w:sz w:val="15"/>
                <w:szCs w:val="15"/>
              </w:rPr>
              <w:t>22</w:t>
            </w:r>
            <w:r w:rsidR="000A1A2A">
              <w:rPr>
                <w:sz w:val="15"/>
                <w:szCs w:val="15"/>
              </w:rPr>
              <w:t>**</w:t>
            </w:r>
          </w:p>
          <w:p w14:paraId="2331D16E" w14:textId="196CBD26" w:rsidR="00B576E1" w:rsidRPr="00636169" w:rsidRDefault="00B576E1" w:rsidP="00F449BB">
            <w:pPr>
              <w:jc w:val="center"/>
              <w:rPr>
                <w:sz w:val="15"/>
                <w:szCs w:val="15"/>
              </w:rPr>
            </w:pPr>
            <w:r>
              <w:rPr>
                <w:sz w:val="15"/>
                <w:szCs w:val="15"/>
              </w:rPr>
              <w:t>(0.008)</w:t>
            </w:r>
          </w:p>
        </w:tc>
        <w:tc>
          <w:tcPr>
            <w:tcW w:w="1560" w:type="dxa"/>
            <w:tcBorders>
              <w:top w:val="nil"/>
              <w:left w:val="single" w:sz="4" w:space="0" w:color="auto"/>
              <w:bottom w:val="nil"/>
            </w:tcBorders>
            <w:vAlign w:val="center"/>
          </w:tcPr>
          <w:p w14:paraId="14E661FF" w14:textId="5ABF0B6A" w:rsidR="004C45CD" w:rsidRDefault="00F107B5" w:rsidP="00F449BB">
            <w:pPr>
              <w:jc w:val="center"/>
              <w:rPr>
                <w:sz w:val="15"/>
                <w:szCs w:val="15"/>
              </w:rPr>
            </w:pPr>
            <w:r>
              <w:rPr>
                <w:sz w:val="15"/>
                <w:szCs w:val="15"/>
              </w:rPr>
              <w:t>0.094***</w:t>
            </w:r>
          </w:p>
          <w:p w14:paraId="26D3100B" w14:textId="44AD3BA5" w:rsidR="00F107B5" w:rsidRPr="00636169" w:rsidRDefault="00F107B5" w:rsidP="00F449BB">
            <w:pPr>
              <w:jc w:val="center"/>
              <w:rPr>
                <w:sz w:val="15"/>
                <w:szCs w:val="15"/>
              </w:rPr>
            </w:pPr>
            <w:r>
              <w:rPr>
                <w:sz w:val="15"/>
                <w:szCs w:val="15"/>
              </w:rPr>
              <w:t>(0.014)</w:t>
            </w:r>
          </w:p>
        </w:tc>
        <w:tc>
          <w:tcPr>
            <w:tcW w:w="1557" w:type="dxa"/>
            <w:tcBorders>
              <w:top w:val="nil"/>
              <w:bottom w:val="nil"/>
            </w:tcBorders>
            <w:vAlign w:val="center"/>
          </w:tcPr>
          <w:p w14:paraId="76989552" w14:textId="41989265" w:rsidR="004C45CD" w:rsidRDefault="00D87FBB" w:rsidP="00F449BB">
            <w:pPr>
              <w:jc w:val="center"/>
              <w:rPr>
                <w:sz w:val="15"/>
                <w:szCs w:val="15"/>
              </w:rPr>
            </w:pPr>
            <w:r>
              <w:rPr>
                <w:sz w:val="15"/>
                <w:szCs w:val="15"/>
              </w:rPr>
              <w:t>0.</w:t>
            </w:r>
            <w:r w:rsidR="0055594D">
              <w:rPr>
                <w:sz w:val="15"/>
                <w:szCs w:val="15"/>
              </w:rPr>
              <w:t>065</w:t>
            </w:r>
            <w:r>
              <w:rPr>
                <w:sz w:val="15"/>
                <w:szCs w:val="15"/>
              </w:rPr>
              <w:t>***</w:t>
            </w:r>
          </w:p>
          <w:p w14:paraId="5414DEF3" w14:textId="771F6616" w:rsidR="00D87FBB" w:rsidRPr="00636169" w:rsidRDefault="00D87FBB" w:rsidP="00F449BB">
            <w:pPr>
              <w:jc w:val="center"/>
              <w:rPr>
                <w:sz w:val="15"/>
                <w:szCs w:val="15"/>
              </w:rPr>
            </w:pPr>
            <w:r>
              <w:rPr>
                <w:sz w:val="15"/>
                <w:szCs w:val="15"/>
              </w:rPr>
              <w:t>(0.</w:t>
            </w:r>
            <w:r w:rsidR="007C23BD">
              <w:rPr>
                <w:sz w:val="15"/>
                <w:szCs w:val="15"/>
              </w:rPr>
              <w:t>014</w:t>
            </w:r>
            <w:r>
              <w:rPr>
                <w:sz w:val="15"/>
                <w:szCs w:val="15"/>
              </w:rPr>
              <w:t>)</w:t>
            </w:r>
          </w:p>
        </w:tc>
        <w:tc>
          <w:tcPr>
            <w:tcW w:w="239" w:type="dxa"/>
            <w:tcBorders>
              <w:top w:val="nil"/>
              <w:bottom w:val="nil"/>
            </w:tcBorders>
          </w:tcPr>
          <w:p w14:paraId="3FB9ED1D" w14:textId="77777777" w:rsidR="004C45CD" w:rsidRPr="00636169" w:rsidRDefault="004C45CD" w:rsidP="00F449BB">
            <w:pPr>
              <w:jc w:val="center"/>
              <w:rPr>
                <w:sz w:val="16"/>
                <w:szCs w:val="16"/>
              </w:rPr>
            </w:pPr>
          </w:p>
        </w:tc>
      </w:tr>
      <w:tr w:rsidR="004C45CD" w:rsidRPr="00636169" w14:paraId="10410398" w14:textId="77777777" w:rsidTr="00F449BB">
        <w:trPr>
          <w:gridAfter w:val="1"/>
          <w:wAfter w:w="1560" w:type="dxa"/>
        </w:trPr>
        <w:tc>
          <w:tcPr>
            <w:tcW w:w="1913" w:type="dxa"/>
            <w:tcBorders>
              <w:top w:val="nil"/>
              <w:bottom w:val="single" w:sz="4" w:space="0" w:color="auto"/>
            </w:tcBorders>
            <w:vAlign w:val="center"/>
          </w:tcPr>
          <w:p w14:paraId="1E08100F" w14:textId="77777777" w:rsidR="004C45CD" w:rsidRPr="009C7364" w:rsidRDefault="004C45CD" w:rsidP="00F449BB">
            <w:pPr>
              <w:rPr>
                <w:sz w:val="15"/>
                <w:szCs w:val="15"/>
              </w:rPr>
            </w:pPr>
            <w:r w:rsidRPr="009C7364">
              <w:rPr>
                <w:sz w:val="15"/>
                <w:szCs w:val="15"/>
              </w:rPr>
              <w:t>Probable mental health problem</w:t>
            </w:r>
          </w:p>
        </w:tc>
        <w:tc>
          <w:tcPr>
            <w:tcW w:w="1773" w:type="dxa"/>
            <w:tcBorders>
              <w:top w:val="nil"/>
              <w:bottom w:val="single" w:sz="4" w:space="0" w:color="auto"/>
            </w:tcBorders>
            <w:vAlign w:val="center"/>
          </w:tcPr>
          <w:p w14:paraId="365CC64C" w14:textId="77777777" w:rsidR="004C45CD" w:rsidRPr="009C7364" w:rsidRDefault="004C45CD" w:rsidP="00F449BB">
            <w:pPr>
              <w:jc w:val="center"/>
              <w:rPr>
                <w:sz w:val="15"/>
                <w:szCs w:val="15"/>
              </w:rPr>
            </w:pPr>
            <w:r>
              <w:rPr>
                <w:sz w:val="15"/>
                <w:szCs w:val="15"/>
              </w:rPr>
              <w:t>/</w:t>
            </w:r>
          </w:p>
        </w:tc>
        <w:tc>
          <w:tcPr>
            <w:tcW w:w="1984" w:type="dxa"/>
            <w:tcBorders>
              <w:top w:val="nil"/>
              <w:bottom w:val="single" w:sz="4" w:space="0" w:color="auto"/>
              <w:right w:val="single" w:sz="4" w:space="0" w:color="auto"/>
            </w:tcBorders>
            <w:vAlign w:val="center"/>
          </w:tcPr>
          <w:p w14:paraId="50CC0775" w14:textId="24C246CA" w:rsidR="004C45CD" w:rsidRDefault="00B576E1" w:rsidP="00F449BB">
            <w:pPr>
              <w:jc w:val="center"/>
              <w:rPr>
                <w:sz w:val="15"/>
                <w:szCs w:val="15"/>
              </w:rPr>
            </w:pPr>
            <w:r>
              <w:rPr>
                <w:sz w:val="15"/>
                <w:szCs w:val="15"/>
              </w:rPr>
              <w:t>0.156</w:t>
            </w:r>
            <w:r w:rsidR="003617A3">
              <w:rPr>
                <w:sz w:val="15"/>
                <w:szCs w:val="15"/>
              </w:rPr>
              <w:t>***</w:t>
            </w:r>
          </w:p>
          <w:p w14:paraId="72C62F08" w14:textId="6D5F50AE" w:rsidR="00B576E1" w:rsidRPr="00636169" w:rsidRDefault="00B576E1" w:rsidP="00F449BB">
            <w:pPr>
              <w:jc w:val="center"/>
              <w:rPr>
                <w:sz w:val="15"/>
                <w:szCs w:val="15"/>
              </w:rPr>
            </w:pPr>
            <w:r>
              <w:rPr>
                <w:sz w:val="15"/>
                <w:szCs w:val="15"/>
              </w:rPr>
              <w:t>(</w:t>
            </w:r>
            <w:r w:rsidR="00203EDA">
              <w:rPr>
                <w:sz w:val="15"/>
                <w:szCs w:val="15"/>
              </w:rPr>
              <w:t>0.017)</w:t>
            </w:r>
          </w:p>
        </w:tc>
        <w:tc>
          <w:tcPr>
            <w:tcW w:w="1560" w:type="dxa"/>
            <w:tcBorders>
              <w:top w:val="nil"/>
              <w:left w:val="single" w:sz="4" w:space="0" w:color="auto"/>
              <w:bottom w:val="single" w:sz="4" w:space="0" w:color="auto"/>
            </w:tcBorders>
            <w:vAlign w:val="center"/>
          </w:tcPr>
          <w:p w14:paraId="38074B5B" w14:textId="77777777" w:rsidR="004C45CD" w:rsidRPr="00636169" w:rsidRDefault="004C45CD" w:rsidP="00F449BB">
            <w:pPr>
              <w:jc w:val="center"/>
              <w:rPr>
                <w:sz w:val="15"/>
                <w:szCs w:val="15"/>
              </w:rPr>
            </w:pPr>
            <w:r w:rsidRPr="00636169">
              <w:rPr>
                <w:sz w:val="15"/>
                <w:szCs w:val="15"/>
              </w:rPr>
              <w:t>/</w:t>
            </w:r>
          </w:p>
        </w:tc>
        <w:tc>
          <w:tcPr>
            <w:tcW w:w="1557" w:type="dxa"/>
            <w:tcBorders>
              <w:top w:val="nil"/>
              <w:bottom w:val="single" w:sz="4" w:space="0" w:color="auto"/>
            </w:tcBorders>
            <w:vAlign w:val="center"/>
          </w:tcPr>
          <w:p w14:paraId="42A7F796" w14:textId="6D097BD3" w:rsidR="004C45CD" w:rsidRDefault="007C23BD" w:rsidP="00F449BB">
            <w:pPr>
              <w:jc w:val="center"/>
              <w:rPr>
                <w:sz w:val="15"/>
                <w:szCs w:val="15"/>
              </w:rPr>
            </w:pPr>
            <w:r>
              <w:rPr>
                <w:sz w:val="15"/>
                <w:szCs w:val="15"/>
              </w:rPr>
              <w:t>0.283</w:t>
            </w:r>
            <w:r w:rsidR="00CF6BCA">
              <w:rPr>
                <w:sz w:val="15"/>
                <w:szCs w:val="15"/>
              </w:rPr>
              <w:t>***</w:t>
            </w:r>
          </w:p>
          <w:p w14:paraId="34751914" w14:textId="7880F9B7" w:rsidR="00CF6BCA" w:rsidRPr="00636169" w:rsidRDefault="00CF6BCA" w:rsidP="00F449BB">
            <w:pPr>
              <w:jc w:val="center"/>
              <w:rPr>
                <w:sz w:val="15"/>
                <w:szCs w:val="15"/>
              </w:rPr>
            </w:pPr>
            <w:r>
              <w:rPr>
                <w:sz w:val="15"/>
                <w:szCs w:val="15"/>
              </w:rPr>
              <w:t>(0.</w:t>
            </w:r>
            <w:r w:rsidR="007C23BD">
              <w:rPr>
                <w:sz w:val="15"/>
                <w:szCs w:val="15"/>
              </w:rPr>
              <w:t>022</w:t>
            </w:r>
            <w:r>
              <w:rPr>
                <w:sz w:val="15"/>
                <w:szCs w:val="15"/>
              </w:rPr>
              <w:t>)</w:t>
            </w:r>
          </w:p>
        </w:tc>
        <w:tc>
          <w:tcPr>
            <w:tcW w:w="239" w:type="dxa"/>
            <w:tcBorders>
              <w:top w:val="nil"/>
              <w:bottom w:val="single" w:sz="4" w:space="0" w:color="auto"/>
            </w:tcBorders>
          </w:tcPr>
          <w:p w14:paraId="0B4FD23C" w14:textId="77777777" w:rsidR="004C45CD" w:rsidRPr="00636169" w:rsidRDefault="004C45CD" w:rsidP="00F449BB">
            <w:pPr>
              <w:jc w:val="center"/>
              <w:rPr>
                <w:sz w:val="14"/>
                <w:szCs w:val="14"/>
              </w:rPr>
            </w:pPr>
          </w:p>
        </w:tc>
      </w:tr>
      <w:tr w:rsidR="004C45CD" w:rsidRPr="00636169" w14:paraId="219B5E9D" w14:textId="77777777" w:rsidTr="00F449BB">
        <w:trPr>
          <w:gridAfter w:val="1"/>
          <w:wAfter w:w="1560" w:type="dxa"/>
        </w:trPr>
        <w:tc>
          <w:tcPr>
            <w:tcW w:w="1913" w:type="dxa"/>
            <w:tcBorders>
              <w:top w:val="single" w:sz="4" w:space="0" w:color="auto"/>
            </w:tcBorders>
            <w:vAlign w:val="center"/>
          </w:tcPr>
          <w:p w14:paraId="29338FC0" w14:textId="77777777" w:rsidR="004C45CD" w:rsidRPr="00AE58C7" w:rsidRDefault="004C45CD" w:rsidP="00F449BB">
            <w:pPr>
              <w:spacing w:line="360" w:lineRule="auto"/>
              <w:rPr>
                <w:sz w:val="14"/>
                <w:szCs w:val="14"/>
                <w:vertAlign w:val="superscript"/>
              </w:rPr>
            </w:pPr>
            <w:r w:rsidRPr="00AE58C7">
              <w:rPr>
                <w:sz w:val="14"/>
                <w:szCs w:val="14"/>
              </w:rPr>
              <w:t>Pseudo R</w:t>
            </w:r>
            <w:r w:rsidRPr="00AE58C7">
              <w:rPr>
                <w:sz w:val="14"/>
                <w:szCs w:val="14"/>
                <w:vertAlign w:val="superscript"/>
              </w:rPr>
              <w:t>2</w:t>
            </w:r>
          </w:p>
        </w:tc>
        <w:tc>
          <w:tcPr>
            <w:tcW w:w="1773" w:type="dxa"/>
            <w:tcBorders>
              <w:top w:val="single" w:sz="4" w:space="0" w:color="auto"/>
            </w:tcBorders>
            <w:vAlign w:val="center"/>
          </w:tcPr>
          <w:p w14:paraId="3A1E6EB3" w14:textId="30966F5E" w:rsidR="00203EDA" w:rsidRPr="00AE58C7" w:rsidRDefault="00203EDA" w:rsidP="00203EDA">
            <w:pPr>
              <w:jc w:val="center"/>
              <w:rPr>
                <w:sz w:val="14"/>
                <w:szCs w:val="14"/>
              </w:rPr>
            </w:pPr>
            <w:r>
              <w:rPr>
                <w:sz w:val="14"/>
                <w:szCs w:val="14"/>
              </w:rPr>
              <w:t>0.094</w:t>
            </w:r>
          </w:p>
        </w:tc>
        <w:tc>
          <w:tcPr>
            <w:tcW w:w="1984" w:type="dxa"/>
            <w:tcBorders>
              <w:top w:val="single" w:sz="4" w:space="0" w:color="auto"/>
              <w:right w:val="single" w:sz="4" w:space="0" w:color="auto"/>
            </w:tcBorders>
            <w:vAlign w:val="center"/>
          </w:tcPr>
          <w:p w14:paraId="3C899A7A" w14:textId="04214B48" w:rsidR="004C45CD" w:rsidRPr="00636169" w:rsidRDefault="00DC1B2C" w:rsidP="00F449BB">
            <w:pPr>
              <w:jc w:val="center"/>
              <w:rPr>
                <w:sz w:val="14"/>
                <w:szCs w:val="14"/>
              </w:rPr>
            </w:pPr>
            <w:r>
              <w:rPr>
                <w:sz w:val="14"/>
                <w:szCs w:val="14"/>
              </w:rPr>
              <w:t>0.190</w:t>
            </w:r>
          </w:p>
        </w:tc>
        <w:tc>
          <w:tcPr>
            <w:tcW w:w="1560" w:type="dxa"/>
            <w:tcBorders>
              <w:top w:val="single" w:sz="4" w:space="0" w:color="auto"/>
              <w:left w:val="single" w:sz="4" w:space="0" w:color="auto"/>
            </w:tcBorders>
            <w:vAlign w:val="center"/>
          </w:tcPr>
          <w:p w14:paraId="05F7FECF" w14:textId="73DCC0CA" w:rsidR="004C45CD" w:rsidRPr="00636169" w:rsidRDefault="001B62CD" w:rsidP="00F449BB">
            <w:pPr>
              <w:jc w:val="center"/>
              <w:rPr>
                <w:sz w:val="14"/>
                <w:szCs w:val="14"/>
              </w:rPr>
            </w:pPr>
            <w:r>
              <w:rPr>
                <w:sz w:val="14"/>
                <w:szCs w:val="14"/>
              </w:rPr>
              <w:t>0.079</w:t>
            </w:r>
          </w:p>
        </w:tc>
        <w:tc>
          <w:tcPr>
            <w:tcW w:w="1557" w:type="dxa"/>
            <w:tcBorders>
              <w:top w:val="single" w:sz="4" w:space="0" w:color="auto"/>
            </w:tcBorders>
            <w:vAlign w:val="center"/>
          </w:tcPr>
          <w:p w14:paraId="15F6FF6D" w14:textId="6C74AFD9" w:rsidR="004C45CD" w:rsidRPr="00636169" w:rsidRDefault="00904A63" w:rsidP="00F449BB">
            <w:pPr>
              <w:jc w:val="center"/>
              <w:rPr>
                <w:sz w:val="14"/>
                <w:szCs w:val="14"/>
              </w:rPr>
            </w:pPr>
            <w:r>
              <w:rPr>
                <w:sz w:val="14"/>
                <w:szCs w:val="14"/>
              </w:rPr>
              <w:t>0.133</w:t>
            </w:r>
          </w:p>
        </w:tc>
        <w:tc>
          <w:tcPr>
            <w:tcW w:w="239" w:type="dxa"/>
            <w:tcBorders>
              <w:top w:val="single" w:sz="4" w:space="0" w:color="auto"/>
            </w:tcBorders>
          </w:tcPr>
          <w:p w14:paraId="3FB1C33A" w14:textId="77777777" w:rsidR="004C45CD" w:rsidRPr="00636169" w:rsidRDefault="004C45CD" w:rsidP="00F449BB">
            <w:pPr>
              <w:jc w:val="center"/>
              <w:rPr>
                <w:sz w:val="14"/>
                <w:szCs w:val="14"/>
              </w:rPr>
            </w:pPr>
          </w:p>
        </w:tc>
      </w:tr>
      <w:tr w:rsidR="004C45CD" w:rsidRPr="00636169" w14:paraId="5BFDADAA" w14:textId="77777777" w:rsidTr="00F449BB">
        <w:trPr>
          <w:gridAfter w:val="1"/>
          <w:wAfter w:w="1560" w:type="dxa"/>
        </w:trPr>
        <w:tc>
          <w:tcPr>
            <w:tcW w:w="1913" w:type="dxa"/>
            <w:vAlign w:val="center"/>
          </w:tcPr>
          <w:p w14:paraId="60897F01" w14:textId="77777777" w:rsidR="004C45CD" w:rsidRPr="00AE58C7" w:rsidRDefault="004C45CD" w:rsidP="00F449BB">
            <w:pPr>
              <w:spacing w:line="360" w:lineRule="auto"/>
              <w:rPr>
                <w:sz w:val="14"/>
                <w:szCs w:val="14"/>
              </w:rPr>
            </w:pPr>
            <w:r w:rsidRPr="00AE58C7">
              <w:rPr>
                <w:sz w:val="14"/>
                <w:szCs w:val="14"/>
              </w:rPr>
              <w:t>Log-likelihood</w:t>
            </w:r>
          </w:p>
        </w:tc>
        <w:tc>
          <w:tcPr>
            <w:tcW w:w="1773" w:type="dxa"/>
            <w:vAlign w:val="center"/>
          </w:tcPr>
          <w:p w14:paraId="15DA3EA1" w14:textId="504C4E2A" w:rsidR="004C45CD" w:rsidRPr="00AE58C7" w:rsidRDefault="00DC1B2C" w:rsidP="00F449BB">
            <w:pPr>
              <w:jc w:val="center"/>
              <w:rPr>
                <w:sz w:val="14"/>
                <w:szCs w:val="14"/>
              </w:rPr>
            </w:pPr>
            <w:r>
              <w:rPr>
                <w:sz w:val="14"/>
                <w:szCs w:val="14"/>
              </w:rPr>
              <w:t>-1477.5</w:t>
            </w:r>
          </w:p>
        </w:tc>
        <w:tc>
          <w:tcPr>
            <w:tcW w:w="1984" w:type="dxa"/>
            <w:tcBorders>
              <w:right w:val="single" w:sz="4" w:space="0" w:color="auto"/>
            </w:tcBorders>
            <w:vAlign w:val="center"/>
          </w:tcPr>
          <w:p w14:paraId="70A1643A" w14:textId="4D580CA7" w:rsidR="004C45CD" w:rsidRPr="00636169" w:rsidRDefault="00DC1B2C" w:rsidP="00F449BB">
            <w:pPr>
              <w:jc w:val="center"/>
              <w:rPr>
                <w:sz w:val="14"/>
                <w:szCs w:val="14"/>
              </w:rPr>
            </w:pPr>
            <w:r>
              <w:rPr>
                <w:sz w:val="14"/>
                <w:szCs w:val="14"/>
              </w:rPr>
              <w:t>-1320.6</w:t>
            </w:r>
          </w:p>
        </w:tc>
        <w:tc>
          <w:tcPr>
            <w:tcW w:w="1560" w:type="dxa"/>
            <w:tcBorders>
              <w:left w:val="single" w:sz="4" w:space="0" w:color="auto"/>
            </w:tcBorders>
            <w:vAlign w:val="center"/>
          </w:tcPr>
          <w:p w14:paraId="7A8EF8AE" w14:textId="04D81404" w:rsidR="004C45CD" w:rsidRPr="00636169" w:rsidRDefault="001B62CD" w:rsidP="00F449BB">
            <w:pPr>
              <w:jc w:val="center"/>
              <w:rPr>
                <w:sz w:val="14"/>
                <w:szCs w:val="14"/>
              </w:rPr>
            </w:pPr>
            <w:r>
              <w:rPr>
                <w:sz w:val="14"/>
                <w:szCs w:val="14"/>
              </w:rPr>
              <w:t>-3379.8</w:t>
            </w:r>
          </w:p>
        </w:tc>
        <w:tc>
          <w:tcPr>
            <w:tcW w:w="1557" w:type="dxa"/>
            <w:vAlign w:val="center"/>
          </w:tcPr>
          <w:p w14:paraId="59E735E7" w14:textId="2F0D7146" w:rsidR="004C45CD" w:rsidRPr="00636169" w:rsidRDefault="00904A63" w:rsidP="00F449BB">
            <w:pPr>
              <w:jc w:val="center"/>
              <w:rPr>
                <w:sz w:val="14"/>
                <w:szCs w:val="14"/>
              </w:rPr>
            </w:pPr>
            <w:r>
              <w:rPr>
                <w:sz w:val="14"/>
                <w:szCs w:val="14"/>
              </w:rPr>
              <w:t>-3179.5</w:t>
            </w:r>
          </w:p>
        </w:tc>
        <w:tc>
          <w:tcPr>
            <w:tcW w:w="239" w:type="dxa"/>
          </w:tcPr>
          <w:p w14:paraId="160BC127" w14:textId="77777777" w:rsidR="004C45CD" w:rsidRPr="00636169" w:rsidRDefault="004C45CD" w:rsidP="00F449BB">
            <w:pPr>
              <w:jc w:val="center"/>
              <w:rPr>
                <w:sz w:val="14"/>
                <w:szCs w:val="14"/>
              </w:rPr>
            </w:pPr>
          </w:p>
        </w:tc>
      </w:tr>
      <w:tr w:rsidR="004C45CD" w:rsidRPr="00636169" w14:paraId="11642FCB" w14:textId="77777777" w:rsidTr="00F449BB">
        <w:trPr>
          <w:gridAfter w:val="1"/>
          <w:wAfter w:w="1560" w:type="dxa"/>
        </w:trPr>
        <w:tc>
          <w:tcPr>
            <w:tcW w:w="1913" w:type="dxa"/>
            <w:tcBorders>
              <w:bottom w:val="single" w:sz="4" w:space="0" w:color="auto"/>
            </w:tcBorders>
            <w:vAlign w:val="center"/>
          </w:tcPr>
          <w:p w14:paraId="2DFC2AF3" w14:textId="77777777" w:rsidR="004C45CD" w:rsidRPr="00AE58C7" w:rsidRDefault="004C45CD" w:rsidP="00F449BB">
            <w:pPr>
              <w:spacing w:line="360" w:lineRule="auto"/>
              <w:rPr>
                <w:sz w:val="14"/>
                <w:szCs w:val="14"/>
              </w:rPr>
            </w:pPr>
            <w:r w:rsidRPr="00AE58C7">
              <w:rPr>
                <w:sz w:val="14"/>
                <w:szCs w:val="14"/>
              </w:rPr>
              <w:t>N</w:t>
            </w:r>
          </w:p>
        </w:tc>
        <w:tc>
          <w:tcPr>
            <w:tcW w:w="1773" w:type="dxa"/>
            <w:tcBorders>
              <w:bottom w:val="single" w:sz="4" w:space="0" w:color="auto"/>
            </w:tcBorders>
            <w:vAlign w:val="center"/>
          </w:tcPr>
          <w:p w14:paraId="3E087E19" w14:textId="2C27CC53" w:rsidR="004C45CD" w:rsidRPr="00AE58C7" w:rsidRDefault="00DC1B2C" w:rsidP="00F449BB">
            <w:pPr>
              <w:jc w:val="center"/>
              <w:rPr>
                <w:sz w:val="14"/>
                <w:szCs w:val="14"/>
              </w:rPr>
            </w:pPr>
            <w:r>
              <w:rPr>
                <w:sz w:val="14"/>
                <w:szCs w:val="14"/>
              </w:rPr>
              <w:t>7306</w:t>
            </w:r>
          </w:p>
        </w:tc>
        <w:tc>
          <w:tcPr>
            <w:tcW w:w="1984" w:type="dxa"/>
            <w:tcBorders>
              <w:bottom w:val="single" w:sz="4" w:space="0" w:color="auto"/>
              <w:right w:val="single" w:sz="4" w:space="0" w:color="auto"/>
            </w:tcBorders>
            <w:vAlign w:val="center"/>
          </w:tcPr>
          <w:p w14:paraId="66DA6C68" w14:textId="51751B4C" w:rsidR="004C45CD" w:rsidRPr="00636169" w:rsidRDefault="00DC1B2C" w:rsidP="00F449BB">
            <w:pPr>
              <w:jc w:val="center"/>
              <w:rPr>
                <w:sz w:val="14"/>
                <w:szCs w:val="14"/>
              </w:rPr>
            </w:pPr>
            <w:r>
              <w:rPr>
                <w:sz w:val="14"/>
                <w:szCs w:val="14"/>
              </w:rPr>
              <w:t>7306</w:t>
            </w:r>
          </w:p>
        </w:tc>
        <w:tc>
          <w:tcPr>
            <w:tcW w:w="1560" w:type="dxa"/>
            <w:tcBorders>
              <w:left w:val="single" w:sz="4" w:space="0" w:color="auto"/>
              <w:bottom w:val="single" w:sz="4" w:space="0" w:color="auto"/>
            </w:tcBorders>
            <w:vAlign w:val="center"/>
          </w:tcPr>
          <w:p w14:paraId="647DBE20" w14:textId="3D8EF119" w:rsidR="004C45CD" w:rsidRPr="00636169" w:rsidRDefault="001B62CD" w:rsidP="00F449BB">
            <w:pPr>
              <w:jc w:val="center"/>
              <w:rPr>
                <w:sz w:val="14"/>
                <w:szCs w:val="14"/>
              </w:rPr>
            </w:pPr>
            <w:r>
              <w:rPr>
                <w:sz w:val="14"/>
                <w:szCs w:val="14"/>
              </w:rPr>
              <w:t>7306</w:t>
            </w:r>
          </w:p>
        </w:tc>
        <w:tc>
          <w:tcPr>
            <w:tcW w:w="1557" w:type="dxa"/>
            <w:tcBorders>
              <w:bottom w:val="single" w:sz="4" w:space="0" w:color="auto"/>
            </w:tcBorders>
            <w:vAlign w:val="center"/>
          </w:tcPr>
          <w:p w14:paraId="46F3C47D" w14:textId="7403F199" w:rsidR="004C45CD" w:rsidRPr="00636169" w:rsidRDefault="00904A63" w:rsidP="00F449BB">
            <w:pPr>
              <w:jc w:val="center"/>
              <w:rPr>
                <w:sz w:val="14"/>
                <w:szCs w:val="14"/>
              </w:rPr>
            </w:pPr>
            <w:r>
              <w:rPr>
                <w:sz w:val="14"/>
                <w:szCs w:val="14"/>
              </w:rPr>
              <w:t>7306</w:t>
            </w:r>
          </w:p>
        </w:tc>
        <w:tc>
          <w:tcPr>
            <w:tcW w:w="239" w:type="dxa"/>
            <w:tcBorders>
              <w:bottom w:val="single" w:sz="4" w:space="0" w:color="auto"/>
            </w:tcBorders>
          </w:tcPr>
          <w:p w14:paraId="10C5DAB6" w14:textId="77777777" w:rsidR="004C45CD" w:rsidRPr="00636169" w:rsidRDefault="004C45CD" w:rsidP="00F449BB">
            <w:pPr>
              <w:jc w:val="center"/>
              <w:rPr>
                <w:sz w:val="14"/>
                <w:szCs w:val="14"/>
              </w:rPr>
            </w:pPr>
          </w:p>
        </w:tc>
      </w:tr>
      <w:tr w:rsidR="004C45CD" w:rsidRPr="00915CC9" w14:paraId="362A60ED" w14:textId="77777777" w:rsidTr="00F449BB">
        <w:trPr>
          <w:gridAfter w:val="1"/>
          <w:wAfter w:w="1560" w:type="dxa"/>
        </w:trPr>
        <w:tc>
          <w:tcPr>
            <w:tcW w:w="9026" w:type="dxa"/>
            <w:gridSpan w:val="6"/>
            <w:tcBorders>
              <w:top w:val="single" w:sz="4" w:space="0" w:color="auto"/>
              <w:bottom w:val="single" w:sz="4" w:space="0" w:color="auto"/>
            </w:tcBorders>
          </w:tcPr>
          <w:p w14:paraId="4B8A30A6" w14:textId="77777777" w:rsidR="004C45CD" w:rsidRPr="00AE58C7" w:rsidRDefault="004C45CD" w:rsidP="00F449BB">
            <w:pPr>
              <w:rPr>
                <w:sz w:val="14"/>
                <w:szCs w:val="14"/>
              </w:rPr>
            </w:pPr>
            <w:r w:rsidRPr="00AE58C7">
              <w:rPr>
                <w:sz w:val="14"/>
                <w:szCs w:val="14"/>
              </w:rPr>
              <w:t>Notes: Statistical significance denoted by p-values: +p&lt;0.1, *p&lt;0.05, **p&lt;0.01, ***p&lt;0.001.</w:t>
            </w:r>
          </w:p>
          <w:p w14:paraId="0F792919" w14:textId="77777777" w:rsidR="004C45CD" w:rsidRPr="00AE58C7" w:rsidRDefault="004C45CD" w:rsidP="00F449BB">
            <w:pPr>
              <w:rPr>
                <w:sz w:val="14"/>
                <w:szCs w:val="14"/>
              </w:rPr>
            </w:pPr>
            <w:r>
              <w:rPr>
                <w:sz w:val="14"/>
                <w:szCs w:val="14"/>
              </w:rPr>
              <w:t xml:space="preserve">Estimates are presented as average marginal effects. </w:t>
            </w:r>
            <w:r w:rsidRPr="00AE58C7">
              <w:rPr>
                <w:sz w:val="14"/>
                <w:szCs w:val="14"/>
              </w:rPr>
              <w:t>Robust standard errors in parentheses.</w:t>
            </w:r>
          </w:p>
        </w:tc>
      </w:tr>
    </w:tbl>
    <w:p w14:paraId="1D344DD0" w14:textId="12D52A75" w:rsidR="00660132" w:rsidRDefault="00660132"/>
    <w:p w14:paraId="10CAD433" w14:textId="503B6299" w:rsidR="006037E5" w:rsidRDefault="006037E5">
      <w:r>
        <w:br w:type="page"/>
      </w:r>
    </w:p>
    <w:p w14:paraId="394FED0A" w14:textId="38778E8F" w:rsidR="006037E5" w:rsidRPr="00EE2995" w:rsidRDefault="006037E5" w:rsidP="006037E5">
      <w:pPr>
        <w:spacing w:line="360" w:lineRule="auto"/>
        <w:rPr>
          <w:b/>
          <w:bCs/>
        </w:rPr>
      </w:pPr>
      <w:r w:rsidRPr="00EE2995">
        <w:rPr>
          <w:b/>
          <w:bCs/>
        </w:rPr>
        <w:t xml:space="preserve">Table </w:t>
      </w:r>
      <w:r w:rsidR="00616068">
        <w:rPr>
          <w:b/>
          <w:bCs/>
        </w:rPr>
        <w:t>A-</w:t>
      </w:r>
      <w:r w:rsidRPr="00EE2995">
        <w:rPr>
          <w:b/>
          <w:bCs/>
        </w:rPr>
        <w:t>3: Estimation results on mental health</w:t>
      </w:r>
      <w:r w:rsidR="00616068">
        <w:rPr>
          <w:b/>
          <w:bCs/>
        </w:rPr>
        <w:t>, 202</w:t>
      </w:r>
      <w:r w:rsidR="009F085E">
        <w:rPr>
          <w:b/>
          <w:bCs/>
        </w:rPr>
        <w:t>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1571"/>
        <w:gridCol w:w="651"/>
        <w:gridCol w:w="921"/>
        <w:gridCol w:w="1571"/>
        <w:gridCol w:w="1572"/>
      </w:tblGrid>
      <w:tr w:rsidR="006037E5" w:rsidRPr="00AE58C7" w14:paraId="2406E1F0" w14:textId="77777777" w:rsidTr="00F449BB">
        <w:tc>
          <w:tcPr>
            <w:tcW w:w="2740" w:type="dxa"/>
            <w:tcBorders>
              <w:top w:val="single" w:sz="4" w:space="0" w:color="auto"/>
              <w:bottom w:val="single" w:sz="4" w:space="0" w:color="auto"/>
            </w:tcBorders>
          </w:tcPr>
          <w:p w14:paraId="4A456176" w14:textId="77777777" w:rsidR="006037E5" w:rsidRPr="00AE58C7" w:rsidRDefault="006037E5" w:rsidP="00F449BB">
            <w:pPr>
              <w:rPr>
                <w:b/>
                <w:bCs/>
                <w:sz w:val="16"/>
                <w:szCs w:val="16"/>
              </w:rPr>
            </w:pPr>
          </w:p>
        </w:tc>
        <w:tc>
          <w:tcPr>
            <w:tcW w:w="3143" w:type="dxa"/>
            <w:gridSpan w:val="3"/>
            <w:tcBorders>
              <w:top w:val="single" w:sz="4" w:space="0" w:color="auto"/>
              <w:bottom w:val="single" w:sz="4" w:space="0" w:color="auto"/>
              <w:right w:val="single" w:sz="4" w:space="0" w:color="auto"/>
            </w:tcBorders>
            <w:vAlign w:val="center"/>
          </w:tcPr>
          <w:p w14:paraId="62B8DAFC" w14:textId="77777777" w:rsidR="006037E5" w:rsidRPr="007B3354" w:rsidRDefault="006037E5" w:rsidP="00F449BB">
            <w:pPr>
              <w:jc w:val="center"/>
              <w:rPr>
                <w:sz w:val="16"/>
                <w:szCs w:val="16"/>
              </w:rPr>
            </w:pPr>
            <w:r w:rsidRPr="007B3354">
              <w:rPr>
                <w:sz w:val="20"/>
                <w:szCs w:val="20"/>
              </w:rPr>
              <w:t>Probable mental health problem</w:t>
            </w:r>
          </w:p>
        </w:tc>
        <w:tc>
          <w:tcPr>
            <w:tcW w:w="3143" w:type="dxa"/>
            <w:gridSpan w:val="2"/>
            <w:tcBorders>
              <w:top w:val="single" w:sz="4" w:space="0" w:color="auto"/>
              <w:left w:val="single" w:sz="4" w:space="0" w:color="auto"/>
              <w:bottom w:val="single" w:sz="4" w:space="0" w:color="auto"/>
            </w:tcBorders>
          </w:tcPr>
          <w:p w14:paraId="68B5DDB2" w14:textId="77777777" w:rsidR="006037E5" w:rsidRPr="007B3354" w:rsidRDefault="006037E5" w:rsidP="00F449BB">
            <w:pPr>
              <w:jc w:val="center"/>
              <w:rPr>
                <w:sz w:val="16"/>
                <w:szCs w:val="16"/>
              </w:rPr>
            </w:pPr>
            <w:r w:rsidRPr="000F59E1">
              <w:rPr>
                <w:sz w:val="20"/>
                <w:szCs w:val="20"/>
              </w:rPr>
              <w:t>Good quality of life</w:t>
            </w:r>
          </w:p>
        </w:tc>
      </w:tr>
      <w:tr w:rsidR="006037E5" w:rsidRPr="00AE58C7" w14:paraId="759895C5" w14:textId="77777777" w:rsidTr="00F449BB">
        <w:tc>
          <w:tcPr>
            <w:tcW w:w="2740" w:type="dxa"/>
            <w:tcBorders>
              <w:top w:val="single" w:sz="4" w:space="0" w:color="auto"/>
              <w:bottom w:val="single" w:sz="4" w:space="0" w:color="auto"/>
            </w:tcBorders>
          </w:tcPr>
          <w:p w14:paraId="371679B9" w14:textId="77777777" w:rsidR="006037E5" w:rsidRPr="00AE58C7" w:rsidRDefault="006037E5" w:rsidP="00F449BB">
            <w:pPr>
              <w:rPr>
                <w:b/>
                <w:bCs/>
                <w:sz w:val="16"/>
                <w:szCs w:val="16"/>
              </w:rPr>
            </w:pPr>
          </w:p>
        </w:tc>
        <w:tc>
          <w:tcPr>
            <w:tcW w:w="1571" w:type="dxa"/>
            <w:tcBorders>
              <w:top w:val="single" w:sz="4" w:space="0" w:color="auto"/>
              <w:bottom w:val="single" w:sz="4" w:space="0" w:color="auto"/>
            </w:tcBorders>
            <w:vAlign w:val="center"/>
          </w:tcPr>
          <w:p w14:paraId="74487742" w14:textId="77777777" w:rsidR="006037E5" w:rsidRPr="009F085E" w:rsidRDefault="006037E5" w:rsidP="00F449BB">
            <w:pPr>
              <w:jc w:val="center"/>
              <w:rPr>
                <w:sz w:val="16"/>
                <w:szCs w:val="16"/>
              </w:rPr>
            </w:pPr>
            <w:r w:rsidRPr="009F085E">
              <w:rPr>
                <w:sz w:val="16"/>
                <w:szCs w:val="16"/>
              </w:rPr>
              <w:t>(1)</w:t>
            </w:r>
          </w:p>
        </w:tc>
        <w:tc>
          <w:tcPr>
            <w:tcW w:w="1572" w:type="dxa"/>
            <w:gridSpan w:val="2"/>
            <w:tcBorders>
              <w:top w:val="single" w:sz="4" w:space="0" w:color="auto"/>
              <w:bottom w:val="single" w:sz="4" w:space="0" w:color="auto"/>
              <w:right w:val="single" w:sz="4" w:space="0" w:color="auto"/>
            </w:tcBorders>
            <w:vAlign w:val="center"/>
          </w:tcPr>
          <w:p w14:paraId="1B142301" w14:textId="77777777" w:rsidR="006037E5" w:rsidRPr="009F085E" w:rsidRDefault="006037E5" w:rsidP="00F449BB">
            <w:pPr>
              <w:jc w:val="center"/>
              <w:rPr>
                <w:sz w:val="16"/>
                <w:szCs w:val="16"/>
              </w:rPr>
            </w:pPr>
            <w:r w:rsidRPr="009F085E">
              <w:rPr>
                <w:sz w:val="16"/>
                <w:szCs w:val="16"/>
              </w:rPr>
              <w:t>(2)</w:t>
            </w:r>
          </w:p>
        </w:tc>
        <w:tc>
          <w:tcPr>
            <w:tcW w:w="1571" w:type="dxa"/>
            <w:tcBorders>
              <w:top w:val="single" w:sz="4" w:space="0" w:color="auto"/>
              <w:left w:val="single" w:sz="4" w:space="0" w:color="auto"/>
              <w:bottom w:val="single" w:sz="4" w:space="0" w:color="auto"/>
            </w:tcBorders>
            <w:vAlign w:val="center"/>
          </w:tcPr>
          <w:p w14:paraId="6E8F92EF" w14:textId="77777777" w:rsidR="006037E5" w:rsidRPr="007B3354" w:rsidRDefault="006037E5" w:rsidP="00F449BB">
            <w:pPr>
              <w:jc w:val="center"/>
              <w:rPr>
                <w:sz w:val="16"/>
                <w:szCs w:val="16"/>
              </w:rPr>
            </w:pPr>
            <w:r w:rsidRPr="007B3354">
              <w:rPr>
                <w:sz w:val="16"/>
                <w:szCs w:val="16"/>
              </w:rPr>
              <w:t>(1)</w:t>
            </w:r>
          </w:p>
        </w:tc>
        <w:tc>
          <w:tcPr>
            <w:tcW w:w="1572" w:type="dxa"/>
            <w:tcBorders>
              <w:top w:val="single" w:sz="4" w:space="0" w:color="auto"/>
              <w:bottom w:val="single" w:sz="4" w:space="0" w:color="auto"/>
            </w:tcBorders>
            <w:vAlign w:val="center"/>
          </w:tcPr>
          <w:p w14:paraId="1504D629" w14:textId="77777777" w:rsidR="006037E5" w:rsidRPr="007B3354" w:rsidRDefault="006037E5" w:rsidP="00F449BB">
            <w:pPr>
              <w:jc w:val="center"/>
              <w:rPr>
                <w:sz w:val="16"/>
                <w:szCs w:val="16"/>
              </w:rPr>
            </w:pPr>
            <w:r w:rsidRPr="007B3354">
              <w:rPr>
                <w:sz w:val="16"/>
                <w:szCs w:val="16"/>
              </w:rPr>
              <w:t>(2)</w:t>
            </w:r>
          </w:p>
        </w:tc>
      </w:tr>
      <w:tr w:rsidR="006037E5" w:rsidRPr="00AE58C7" w14:paraId="6C31EA5F" w14:textId="77777777" w:rsidTr="00F449BB">
        <w:tc>
          <w:tcPr>
            <w:tcW w:w="2740" w:type="dxa"/>
            <w:tcBorders>
              <w:top w:val="single" w:sz="4" w:space="0" w:color="auto"/>
              <w:bottom w:val="nil"/>
            </w:tcBorders>
            <w:vAlign w:val="center"/>
          </w:tcPr>
          <w:p w14:paraId="79B68D37" w14:textId="77777777" w:rsidR="006037E5" w:rsidRPr="00AE58C7" w:rsidRDefault="006037E5" w:rsidP="00F449BB">
            <w:pPr>
              <w:rPr>
                <w:sz w:val="16"/>
                <w:szCs w:val="16"/>
              </w:rPr>
            </w:pPr>
            <w:r w:rsidRPr="00AE58C7">
              <w:rPr>
                <w:sz w:val="16"/>
                <w:szCs w:val="16"/>
              </w:rPr>
              <w:t>Often/always lonely</w:t>
            </w:r>
          </w:p>
        </w:tc>
        <w:tc>
          <w:tcPr>
            <w:tcW w:w="1571" w:type="dxa"/>
            <w:tcBorders>
              <w:top w:val="single" w:sz="4" w:space="0" w:color="auto"/>
              <w:bottom w:val="nil"/>
            </w:tcBorders>
            <w:vAlign w:val="center"/>
          </w:tcPr>
          <w:p w14:paraId="6BC61A13" w14:textId="05446717" w:rsidR="00457D30" w:rsidRDefault="009F4789" w:rsidP="00457D30">
            <w:pPr>
              <w:jc w:val="center"/>
              <w:rPr>
                <w:sz w:val="16"/>
                <w:szCs w:val="16"/>
              </w:rPr>
            </w:pPr>
            <w:r>
              <w:rPr>
                <w:sz w:val="16"/>
                <w:szCs w:val="16"/>
              </w:rPr>
              <w:t>0.343</w:t>
            </w:r>
            <w:r w:rsidR="003E5475">
              <w:rPr>
                <w:sz w:val="16"/>
                <w:szCs w:val="16"/>
              </w:rPr>
              <w:t>***</w:t>
            </w:r>
          </w:p>
          <w:p w14:paraId="2192A1A7" w14:textId="7162061B" w:rsidR="009F4789" w:rsidRPr="00AE58C7" w:rsidRDefault="009F4789" w:rsidP="00457D30">
            <w:pPr>
              <w:jc w:val="center"/>
              <w:rPr>
                <w:sz w:val="16"/>
                <w:szCs w:val="16"/>
              </w:rPr>
            </w:pPr>
            <w:r>
              <w:rPr>
                <w:sz w:val="16"/>
                <w:szCs w:val="16"/>
              </w:rPr>
              <w:t>(0.0</w:t>
            </w:r>
            <w:r w:rsidR="00DB403A">
              <w:rPr>
                <w:sz w:val="16"/>
                <w:szCs w:val="16"/>
              </w:rPr>
              <w:t>33)</w:t>
            </w:r>
          </w:p>
        </w:tc>
        <w:tc>
          <w:tcPr>
            <w:tcW w:w="1572" w:type="dxa"/>
            <w:gridSpan w:val="2"/>
            <w:tcBorders>
              <w:top w:val="single" w:sz="4" w:space="0" w:color="auto"/>
              <w:bottom w:val="nil"/>
              <w:right w:val="single" w:sz="4" w:space="0" w:color="auto"/>
            </w:tcBorders>
            <w:vAlign w:val="center"/>
          </w:tcPr>
          <w:p w14:paraId="11504409" w14:textId="77777777" w:rsidR="006037E5" w:rsidRPr="00AE58C7" w:rsidRDefault="006037E5" w:rsidP="00F449BB">
            <w:pPr>
              <w:jc w:val="center"/>
              <w:rPr>
                <w:sz w:val="16"/>
                <w:szCs w:val="16"/>
              </w:rPr>
            </w:pPr>
            <w:r w:rsidRPr="00AE58C7">
              <w:rPr>
                <w:sz w:val="16"/>
                <w:szCs w:val="16"/>
              </w:rPr>
              <w:t>/</w:t>
            </w:r>
          </w:p>
        </w:tc>
        <w:tc>
          <w:tcPr>
            <w:tcW w:w="1571" w:type="dxa"/>
            <w:tcBorders>
              <w:top w:val="single" w:sz="4" w:space="0" w:color="auto"/>
              <w:left w:val="single" w:sz="4" w:space="0" w:color="auto"/>
              <w:bottom w:val="nil"/>
            </w:tcBorders>
          </w:tcPr>
          <w:p w14:paraId="25E2E421" w14:textId="63D19E8F" w:rsidR="006037E5" w:rsidRDefault="004B6B5F" w:rsidP="00F449BB">
            <w:pPr>
              <w:jc w:val="center"/>
              <w:rPr>
                <w:sz w:val="16"/>
                <w:szCs w:val="16"/>
              </w:rPr>
            </w:pPr>
            <w:r>
              <w:rPr>
                <w:sz w:val="16"/>
                <w:szCs w:val="16"/>
              </w:rPr>
              <w:t>-0.29</w:t>
            </w:r>
            <w:r w:rsidR="007F0110">
              <w:rPr>
                <w:sz w:val="16"/>
                <w:szCs w:val="16"/>
              </w:rPr>
              <w:t>4</w:t>
            </w:r>
            <w:r w:rsidR="0064713E">
              <w:rPr>
                <w:sz w:val="16"/>
                <w:szCs w:val="16"/>
              </w:rPr>
              <w:t>***</w:t>
            </w:r>
          </w:p>
          <w:p w14:paraId="1B704F1F" w14:textId="4834ABE3" w:rsidR="004B6B5F" w:rsidRPr="00AE58C7" w:rsidRDefault="004B6B5F" w:rsidP="00F449BB">
            <w:pPr>
              <w:jc w:val="center"/>
              <w:rPr>
                <w:sz w:val="16"/>
                <w:szCs w:val="16"/>
              </w:rPr>
            </w:pPr>
            <w:r>
              <w:rPr>
                <w:sz w:val="16"/>
                <w:szCs w:val="16"/>
              </w:rPr>
              <w:t>(0.034)</w:t>
            </w:r>
          </w:p>
        </w:tc>
        <w:tc>
          <w:tcPr>
            <w:tcW w:w="1572" w:type="dxa"/>
            <w:tcBorders>
              <w:top w:val="single" w:sz="4" w:space="0" w:color="auto"/>
              <w:bottom w:val="nil"/>
            </w:tcBorders>
          </w:tcPr>
          <w:p w14:paraId="3E981A33" w14:textId="77777777" w:rsidR="006037E5" w:rsidRPr="00AE58C7" w:rsidRDefault="006037E5" w:rsidP="00F449BB">
            <w:pPr>
              <w:jc w:val="center"/>
              <w:rPr>
                <w:sz w:val="16"/>
                <w:szCs w:val="16"/>
              </w:rPr>
            </w:pPr>
            <w:r>
              <w:rPr>
                <w:sz w:val="16"/>
                <w:szCs w:val="16"/>
              </w:rPr>
              <w:t>/</w:t>
            </w:r>
          </w:p>
        </w:tc>
      </w:tr>
      <w:tr w:rsidR="006037E5" w:rsidRPr="00AE58C7" w14:paraId="6B5E4039" w14:textId="77777777" w:rsidTr="00F449BB">
        <w:tc>
          <w:tcPr>
            <w:tcW w:w="2740" w:type="dxa"/>
            <w:tcBorders>
              <w:top w:val="nil"/>
            </w:tcBorders>
            <w:vAlign w:val="center"/>
          </w:tcPr>
          <w:p w14:paraId="51F9222A" w14:textId="77777777" w:rsidR="006037E5" w:rsidRPr="00AE58C7" w:rsidRDefault="006037E5" w:rsidP="00F449BB">
            <w:pPr>
              <w:rPr>
                <w:sz w:val="16"/>
                <w:szCs w:val="16"/>
              </w:rPr>
            </w:pPr>
            <w:r w:rsidRPr="00AE58C7">
              <w:rPr>
                <w:sz w:val="16"/>
                <w:szCs w:val="16"/>
              </w:rPr>
              <w:t>Sometimes/often/always lonely</w:t>
            </w:r>
          </w:p>
        </w:tc>
        <w:tc>
          <w:tcPr>
            <w:tcW w:w="1571" w:type="dxa"/>
            <w:tcBorders>
              <w:top w:val="nil"/>
            </w:tcBorders>
            <w:vAlign w:val="center"/>
          </w:tcPr>
          <w:p w14:paraId="5DA09593" w14:textId="77777777" w:rsidR="006037E5" w:rsidRPr="00AE58C7" w:rsidRDefault="006037E5" w:rsidP="00F449BB">
            <w:pPr>
              <w:jc w:val="center"/>
              <w:rPr>
                <w:sz w:val="16"/>
                <w:szCs w:val="16"/>
              </w:rPr>
            </w:pPr>
            <w:r w:rsidRPr="00AE58C7">
              <w:rPr>
                <w:sz w:val="16"/>
                <w:szCs w:val="16"/>
              </w:rPr>
              <w:t>/</w:t>
            </w:r>
          </w:p>
        </w:tc>
        <w:tc>
          <w:tcPr>
            <w:tcW w:w="1572" w:type="dxa"/>
            <w:gridSpan w:val="2"/>
            <w:tcBorders>
              <w:top w:val="nil"/>
              <w:right w:val="single" w:sz="4" w:space="0" w:color="auto"/>
            </w:tcBorders>
            <w:vAlign w:val="center"/>
          </w:tcPr>
          <w:p w14:paraId="7D4DB636" w14:textId="6208DB16" w:rsidR="006037E5" w:rsidRDefault="00DF2614" w:rsidP="00F449BB">
            <w:pPr>
              <w:jc w:val="center"/>
              <w:rPr>
                <w:sz w:val="16"/>
                <w:szCs w:val="16"/>
              </w:rPr>
            </w:pPr>
            <w:r>
              <w:rPr>
                <w:sz w:val="16"/>
                <w:szCs w:val="16"/>
              </w:rPr>
              <w:t>0.210</w:t>
            </w:r>
            <w:r w:rsidR="00787254">
              <w:rPr>
                <w:sz w:val="16"/>
                <w:szCs w:val="16"/>
              </w:rPr>
              <w:t>***</w:t>
            </w:r>
          </w:p>
          <w:p w14:paraId="61D8E3B3" w14:textId="2363253F" w:rsidR="001C2F0B" w:rsidRPr="00AE58C7" w:rsidRDefault="001C2F0B" w:rsidP="00F449BB">
            <w:pPr>
              <w:jc w:val="center"/>
              <w:rPr>
                <w:sz w:val="16"/>
                <w:szCs w:val="16"/>
              </w:rPr>
            </w:pPr>
            <w:r>
              <w:rPr>
                <w:sz w:val="16"/>
                <w:szCs w:val="16"/>
              </w:rPr>
              <w:t>(0.016)</w:t>
            </w:r>
          </w:p>
        </w:tc>
        <w:tc>
          <w:tcPr>
            <w:tcW w:w="1571" w:type="dxa"/>
            <w:tcBorders>
              <w:top w:val="nil"/>
              <w:left w:val="single" w:sz="4" w:space="0" w:color="auto"/>
            </w:tcBorders>
          </w:tcPr>
          <w:p w14:paraId="58A43BFE" w14:textId="77777777" w:rsidR="006037E5" w:rsidRPr="00AE58C7" w:rsidRDefault="006037E5" w:rsidP="00F449BB">
            <w:pPr>
              <w:jc w:val="center"/>
              <w:rPr>
                <w:sz w:val="16"/>
                <w:szCs w:val="16"/>
              </w:rPr>
            </w:pPr>
            <w:r>
              <w:rPr>
                <w:sz w:val="16"/>
                <w:szCs w:val="16"/>
              </w:rPr>
              <w:t>/</w:t>
            </w:r>
          </w:p>
        </w:tc>
        <w:tc>
          <w:tcPr>
            <w:tcW w:w="1572" w:type="dxa"/>
            <w:tcBorders>
              <w:top w:val="nil"/>
            </w:tcBorders>
          </w:tcPr>
          <w:p w14:paraId="47DFC64E" w14:textId="4440B8CD" w:rsidR="006037E5" w:rsidRDefault="00795B9E" w:rsidP="00F449BB">
            <w:pPr>
              <w:jc w:val="center"/>
              <w:rPr>
                <w:sz w:val="16"/>
                <w:szCs w:val="16"/>
              </w:rPr>
            </w:pPr>
            <w:r>
              <w:rPr>
                <w:sz w:val="16"/>
                <w:szCs w:val="16"/>
              </w:rPr>
              <w:t>-0.234***</w:t>
            </w:r>
          </w:p>
          <w:p w14:paraId="6A62CCF8" w14:textId="3AA87945" w:rsidR="00795B9E" w:rsidRPr="00AE58C7" w:rsidRDefault="00795B9E" w:rsidP="00F449BB">
            <w:pPr>
              <w:jc w:val="center"/>
              <w:rPr>
                <w:sz w:val="16"/>
                <w:szCs w:val="16"/>
              </w:rPr>
            </w:pPr>
            <w:r>
              <w:rPr>
                <w:sz w:val="16"/>
                <w:szCs w:val="16"/>
              </w:rPr>
              <w:t>(0.018)</w:t>
            </w:r>
          </w:p>
        </w:tc>
      </w:tr>
      <w:tr w:rsidR="006037E5" w:rsidRPr="00AE58C7" w14:paraId="25460050" w14:textId="77777777" w:rsidTr="00F449BB">
        <w:tc>
          <w:tcPr>
            <w:tcW w:w="2740" w:type="dxa"/>
            <w:tcBorders>
              <w:top w:val="single" w:sz="4" w:space="0" w:color="auto"/>
            </w:tcBorders>
            <w:vAlign w:val="center"/>
          </w:tcPr>
          <w:p w14:paraId="19D2CDC2" w14:textId="77777777" w:rsidR="006037E5" w:rsidRPr="00AE58C7" w:rsidRDefault="006037E5" w:rsidP="00F449BB">
            <w:pPr>
              <w:rPr>
                <w:b/>
                <w:bCs/>
                <w:sz w:val="16"/>
                <w:szCs w:val="16"/>
              </w:rPr>
            </w:pPr>
            <w:r w:rsidRPr="00AE58C7">
              <w:rPr>
                <w:sz w:val="16"/>
                <w:szCs w:val="16"/>
              </w:rPr>
              <w:t>Female</w:t>
            </w:r>
          </w:p>
        </w:tc>
        <w:tc>
          <w:tcPr>
            <w:tcW w:w="1571" w:type="dxa"/>
            <w:tcBorders>
              <w:top w:val="single" w:sz="4" w:space="0" w:color="auto"/>
            </w:tcBorders>
            <w:vAlign w:val="center"/>
          </w:tcPr>
          <w:p w14:paraId="1E37C7AA" w14:textId="48022B55" w:rsidR="00DB403A" w:rsidRDefault="00DB403A" w:rsidP="00DB403A">
            <w:pPr>
              <w:jc w:val="center"/>
              <w:rPr>
                <w:sz w:val="16"/>
                <w:szCs w:val="16"/>
              </w:rPr>
            </w:pPr>
            <w:r>
              <w:rPr>
                <w:sz w:val="16"/>
                <w:szCs w:val="16"/>
              </w:rPr>
              <w:t>0.049</w:t>
            </w:r>
            <w:r w:rsidR="003F78C9">
              <w:rPr>
                <w:sz w:val="16"/>
                <w:szCs w:val="16"/>
              </w:rPr>
              <w:t>***</w:t>
            </w:r>
          </w:p>
          <w:p w14:paraId="0B717A89" w14:textId="598284FB" w:rsidR="005A6125" w:rsidRPr="00AE58C7" w:rsidRDefault="005A6125" w:rsidP="00F449BB">
            <w:pPr>
              <w:jc w:val="center"/>
              <w:rPr>
                <w:sz w:val="16"/>
                <w:szCs w:val="16"/>
              </w:rPr>
            </w:pPr>
            <w:r>
              <w:rPr>
                <w:sz w:val="16"/>
                <w:szCs w:val="16"/>
              </w:rPr>
              <w:t>(0.01</w:t>
            </w:r>
            <w:r w:rsidR="00DB403A">
              <w:rPr>
                <w:sz w:val="16"/>
                <w:szCs w:val="16"/>
              </w:rPr>
              <w:t>1</w:t>
            </w:r>
            <w:r>
              <w:rPr>
                <w:sz w:val="16"/>
                <w:szCs w:val="16"/>
              </w:rPr>
              <w:t>)</w:t>
            </w:r>
          </w:p>
        </w:tc>
        <w:tc>
          <w:tcPr>
            <w:tcW w:w="1572" w:type="dxa"/>
            <w:gridSpan w:val="2"/>
            <w:tcBorders>
              <w:top w:val="single" w:sz="4" w:space="0" w:color="auto"/>
              <w:right w:val="single" w:sz="4" w:space="0" w:color="auto"/>
            </w:tcBorders>
            <w:vAlign w:val="center"/>
          </w:tcPr>
          <w:p w14:paraId="0B77F8C8" w14:textId="65ECBFCC" w:rsidR="006037E5" w:rsidRDefault="001C2F0B" w:rsidP="00F449BB">
            <w:pPr>
              <w:jc w:val="center"/>
              <w:rPr>
                <w:sz w:val="16"/>
                <w:szCs w:val="16"/>
              </w:rPr>
            </w:pPr>
            <w:r>
              <w:rPr>
                <w:sz w:val="16"/>
                <w:szCs w:val="16"/>
              </w:rPr>
              <w:t>0.044</w:t>
            </w:r>
            <w:r w:rsidR="00787254">
              <w:rPr>
                <w:sz w:val="16"/>
                <w:szCs w:val="16"/>
              </w:rPr>
              <w:t>***</w:t>
            </w:r>
          </w:p>
          <w:p w14:paraId="2DDBFE26" w14:textId="7DEF17FA" w:rsidR="001C2F0B" w:rsidRPr="00AE58C7" w:rsidRDefault="001C2F0B" w:rsidP="00F449BB">
            <w:pPr>
              <w:jc w:val="center"/>
              <w:rPr>
                <w:sz w:val="16"/>
                <w:szCs w:val="16"/>
              </w:rPr>
            </w:pPr>
            <w:r>
              <w:rPr>
                <w:sz w:val="16"/>
                <w:szCs w:val="16"/>
              </w:rPr>
              <w:t>(0.011)</w:t>
            </w:r>
          </w:p>
        </w:tc>
        <w:tc>
          <w:tcPr>
            <w:tcW w:w="1571" w:type="dxa"/>
            <w:tcBorders>
              <w:top w:val="single" w:sz="4" w:space="0" w:color="auto"/>
              <w:left w:val="single" w:sz="4" w:space="0" w:color="auto"/>
            </w:tcBorders>
          </w:tcPr>
          <w:p w14:paraId="105D07AF" w14:textId="77777777" w:rsidR="006037E5" w:rsidRDefault="0064426B" w:rsidP="00F449BB">
            <w:pPr>
              <w:jc w:val="center"/>
              <w:rPr>
                <w:sz w:val="16"/>
                <w:szCs w:val="16"/>
              </w:rPr>
            </w:pPr>
            <w:r>
              <w:rPr>
                <w:sz w:val="16"/>
                <w:szCs w:val="16"/>
              </w:rPr>
              <w:t>-0.015</w:t>
            </w:r>
          </w:p>
          <w:p w14:paraId="1ACDF1C7" w14:textId="43E2194B" w:rsidR="0064426B" w:rsidRPr="00AE58C7" w:rsidRDefault="0064426B" w:rsidP="0064426B">
            <w:pPr>
              <w:jc w:val="center"/>
              <w:rPr>
                <w:sz w:val="16"/>
                <w:szCs w:val="16"/>
              </w:rPr>
            </w:pPr>
            <w:r>
              <w:rPr>
                <w:sz w:val="16"/>
                <w:szCs w:val="16"/>
              </w:rPr>
              <w:t>(0.013)</w:t>
            </w:r>
          </w:p>
        </w:tc>
        <w:tc>
          <w:tcPr>
            <w:tcW w:w="1572" w:type="dxa"/>
            <w:tcBorders>
              <w:top w:val="single" w:sz="4" w:space="0" w:color="auto"/>
            </w:tcBorders>
          </w:tcPr>
          <w:p w14:paraId="6C3DA676" w14:textId="77777777" w:rsidR="006037E5" w:rsidRDefault="001A3FC1" w:rsidP="00F449BB">
            <w:pPr>
              <w:jc w:val="center"/>
              <w:rPr>
                <w:sz w:val="16"/>
                <w:szCs w:val="16"/>
              </w:rPr>
            </w:pPr>
            <w:r>
              <w:rPr>
                <w:sz w:val="16"/>
                <w:szCs w:val="16"/>
              </w:rPr>
              <w:t>-0.005</w:t>
            </w:r>
          </w:p>
          <w:p w14:paraId="31ABC234" w14:textId="2888268C" w:rsidR="001A3FC1" w:rsidRPr="00AE58C7" w:rsidRDefault="001A3FC1" w:rsidP="00F449BB">
            <w:pPr>
              <w:jc w:val="center"/>
              <w:rPr>
                <w:sz w:val="16"/>
                <w:szCs w:val="16"/>
              </w:rPr>
            </w:pPr>
            <w:r>
              <w:rPr>
                <w:sz w:val="16"/>
                <w:szCs w:val="16"/>
              </w:rPr>
              <w:t>(0.013)</w:t>
            </w:r>
          </w:p>
        </w:tc>
      </w:tr>
      <w:tr w:rsidR="006037E5" w:rsidRPr="00AE58C7" w14:paraId="69C3A01C" w14:textId="77777777" w:rsidTr="00F449BB">
        <w:tc>
          <w:tcPr>
            <w:tcW w:w="4311" w:type="dxa"/>
            <w:gridSpan w:val="2"/>
            <w:vAlign w:val="center"/>
          </w:tcPr>
          <w:p w14:paraId="0986B21E" w14:textId="77777777" w:rsidR="006037E5" w:rsidRPr="00AE58C7" w:rsidRDefault="006037E5" w:rsidP="00F449BB">
            <w:pPr>
              <w:rPr>
                <w:sz w:val="16"/>
                <w:szCs w:val="16"/>
              </w:rPr>
            </w:pPr>
            <w:r w:rsidRPr="00AE58C7">
              <w:rPr>
                <w:i/>
                <w:iCs/>
                <w:sz w:val="16"/>
                <w:szCs w:val="16"/>
              </w:rPr>
              <w:t>Age category (Ref: 15-29 years)</w:t>
            </w:r>
          </w:p>
        </w:tc>
        <w:tc>
          <w:tcPr>
            <w:tcW w:w="1572" w:type="dxa"/>
            <w:gridSpan w:val="2"/>
            <w:tcBorders>
              <w:right w:val="single" w:sz="4" w:space="0" w:color="auto"/>
            </w:tcBorders>
            <w:vAlign w:val="center"/>
          </w:tcPr>
          <w:p w14:paraId="0F6BCD18" w14:textId="77777777" w:rsidR="006037E5" w:rsidRPr="00AE58C7" w:rsidRDefault="006037E5" w:rsidP="00F449BB">
            <w:pPr>
              <w:jc w:val="center"/>
              <w:rPr>
                <w:sz w:val="16"/>
                <w:szCs w:val="16"/>
              </w:rPr>
            </w:pPr>
          </w:p>
        </w:tc>
        <w:tc>
          <w:tcPr>
            <w:tcW w:w="1571" w:type="dxa"/>
            <w:tcBorders>
              <w:left w:val="single" w:sz="4" w:space="0" w:color="auto"/>
            </w:tcBorders>
          </w:tcPr>
          <w:p w14:paraId="35A7BAEE" w14:textId="77777777" w:rsidR="006037E5" w:rsidRDefault="006037E5" w:rsidP="00F449BB">
            <w:pPr>
              <w:jc w:val="center"/>
              <w:rPr>
                <w:sz w:val="16"/>
                <w:szCs w:val="16"/>
              </w:rPr>
            </w:pPr>
          </w:p>
        </w:tc>
        <w:tc>
          <w:tcPr>
            <w:tcW w:w="1572" w:type="dxa"/>
          </w:tcPr>
          <w:p w14:paraId="7EBB128D" w14:textId="77777777" w:rsidR="006037E5" w:rsidRDefault="006037E5" w:rsidP="00A70AB3">
            <w:pPr>
              <w:rPr>
                <w:sz w:val="16"/>
                <w:szCs w:val="16"/>
              </w:rPr>
            </w:pPr>
          </w:p>
        </w:tc>
      </w:tr>
      <w:tr w:rsidR="006037E5" w:rsidRPr="00AE58C7" w14:paraId="14A4321A" w14:textId="77777777" w:rsidTr="00F449BB">
        <w:tc>
          <w:tcPr>
            <w:tcW w:w="2740" w:type="dxa"/>
            <w:vAlign w:val="center"/>
          </w:tcPr>
          <w:p w14:paraId="10E239CD" w14:textId="77777777" w:rsidR="006037E5" w:rsidRPr="00AE58C7" w:rsidRDefault="006037E5" w:rsidP="00F449BB">
            <w:pPr>
              <w:rPr>
                <w:b/>
                <w:bCs/>
                <w:sz w:val="16"/>
                <w:szCs w:val="16"/>
              </w:rPr>
            </w:pPr>
            <w:r w:rsidRPr="00AE58C7">
              <w:rPr>
                <w:sz w:val="16"/>
                <w:szCs w:val="16"/>
              </w:rPr>
              <w:t xml:space="preserve"> 30-49</w:t>
            </w:r>
          </w:p>
        </w:tc>
        <w:tc>
          <w:tcPr>
            <w:tcW w:w="1571" w:type="dxa"/>
            <w:vAlign w:val="center"/>
          </w:tcPr>
          <w:p w14:paraId="7D2387B8" w14:textId="706121EF" w:rsidR="00486726" w:rsidRDefault="00DB403A" w:rsidP="00F449BB">
            <w:pPr>
              <w:jc w:val="center"/>
              <w:rPr>
                <w:sz w:val="16"/>
                <w:szCs w:val="16"/>
              </w:rPr>
            </w:pPr>
            <w:r>
              <w:rPr>
                <w:sz w:val="16"/>
                <w:szCs w:val="16"/>
              </w:rPr>
              <w:t>-0.00</w:t>
            </w:r>
            <w:r w:rsidR="00B42B8B">
              <w:rPr>
                <w:sz w:val="16"/>
                <w:szCs w:val="16"/>
              </w:rPr>
              <w:t>1</w:t>
            </w:r>
          </w:p>
          <w:p w14:paraId="39C06E1D" w14:textId="73AEB885" w:rsidR="00DB403A" w:rsidRPr="00AE58C7" w:rsidRDefault="00DB403A" w:rsidP="00F449BB">
            <w:pPr>
              <w:jc w:val="center"/>
              <w:rPr>
                <w:sz w:val="16"/>
                <w:szCs w:val="16"/>
              </w:rPr>
            </w:pPr>
            <w:r>
              <w:rPr>
                <w:sz w:val="16"/>
                <w:szCs w:val="16"/>
              </w:rPr>
              <w:t>(0.018)</w:t>
            </w:r>
          </w:p>
        </w:tc>
        <w:tc>
          <w:tcPr>
            <w:tcW w:w="1572" w:type="dxa"/>
            <w:gridSpan w:val="2"/>
            <w:tcBorders>
              <w:right w:val="single" w:sz="4" w:space="0" w:color="auto"/>
            </w:tcBorders>
            <w:vAlign w:val="center"/>
          </w:tcPr>
          <w:p w14:paraId="73FAAD58" w14:textId="22033970" w:rsidR="006037E5" w:rsidRDefault="001C2F0B" w:rsidP="00F449BB">
            <w:pPr>
              <w:jc w:val="center"/>
              <w:rPr>
                <w:sz w:val="16"/>
                <w:szCs w:val="16"/>
              </w:rPr>
            </w:pPr>
            <w:r>
              <w:rPr>
                <w:sz w:val="16"/>
                <w:szCs w:val="16"/>
              </w:rPr>
              <w:t>-0.002</w:t>
            </w:r>
          </w:p>
          <w:p w14:paraId="762A3E0A" w14:textId="1DE0E4D2" w:rsidR="001C2F0B" w:rsidRPr="00AE58C7" w:rsidRDefault="001C2F0B" w:rsidP="00F449BB">
            <w:pPr>
              <w:jc w:val="center"/>
              <w:rPr>
                <w:sz w:val="16"/>
                <w:szCs w:val="16"/>
              </w:rPr>
            </w:pPr>
            <w:r>
              <w:rPr>
                <w:sz w:val="16"/>
                <w:szCs w:val="16"/>
              </w:rPr>
              <w:t>(0.017)</w:t>
            </w:r>
          </w:p>
        </w:tc>
        <w:tc>
          <w:tcPr>
            <w:tcW w:w="1571" w:type="dxa"/>
            <w:tcBorders>
              <w:left w:val="single" w:sz="4" w:space="0" w:color="auto"/>
            </w:tcBorders>
          </w:tcPr>
          <w:p w14:paraId="32C4758F" w14:textId="77777777" w:rsidR="006037E5" w:rsidRDefault="00F737E3" w:rsidP="00F449BB">
            <w:pPr>
              <w:jc w:val="center"/>
              <w:rPr>
                <w:sz w:val="16"/>
                <w:szCs w:val="16"/>
              </w:rPr>
            </w:pPr>
            <w:r>
              <w:rPr>
                <w:sz w:val="16"/>
                <w:szCs w:val="16"/>
              </w:rPr>
              <w:t>-0.020</w:t>
            </w:r>
          </w:p>
          <w:p w14:paraId="4E24E11C" w14:textId="4150C584" w:rsidR="00F737E3" w:rsidRPr="00AE58C7" w:rsidRDefault="00F737E3" w:rsidP="00F449BB">
            <w:pPr>
              <w:jc w:val="center"/>
              <w:rPr>
                <w:sz w:val="16"/>
                <w:szCs w:val="16"/>
              </w:rPr>
            </w:pPr>
            <w:r>
              <w:rPr>
                <w:sz w:val="16"/>
                <w:szCs w:val="16"/>
              </w:rPr>
              <w:t>(0.021)</w:t>
            </w:r>
          </w:p>
        </w:tc>
        <w:tc>
          <w:tcPr>
            <w:tcW w:w="1572" w:type="dxa"/>
          </w:tcPr>
          <w:p w14:paraId="07DEF6D2" w14:textId="77777777" w:rsidR="006037E5" w:rsidRDefault="001A3FC1" w:rsidP="00F449BB">
            <w:pPr>
              <w:jc w:val="center"/>
              <w:rPr>
                <w:sz w:val="16"/>
                <w:szCs w:val="16"/>
              </w:rPr>
            </w:pPr>
            <w:r>
              <w:rPr>
                <w:sz w:val="16"/>
                <w:szCs w:val="16"/>
              </w:rPr>
              <w:t>-0.020</w:t>
            </w:r>
          </w:p>
          <w:p w14:paraId="6AC7F8E4" w14:textId="1AAE582B" w:rsidR="001A3FC1" w:rsidRPr="00AE58C7" w:rsidRDefault="001A3FC1" w:rsidP="00F449BB">
            <w:pPr>
              <w:jc w:val="center"/>
              <w:rPr>
                <w:sz w:val="16"/>
                <w:szCs w:val="16"/>
              </w:rPr>
            </w:pPr>
            <w:r>
              <w:rPr>
                <w:sz w:val="16"/>
                <w:szCs w:val="16"/>
              </w:rPr>
              <w:t>(0.020)</w:t>
            </w:r>
          </w:p>
        </w:tc>
      </w:tr>
      <w:tr w:rsidR="006037E5" w:rsidRPr="00AE58C7" w14:paraId="3B310419" w14:textId="77777777" w:rsidTr="00F449BB">
        <w:tc>
          <w:tcPr>
            <w:tcW w:w="2740" w:type="dxa"/>
            <w:vAlign w:val="center"/>
          </w:tcPr>
          <w:p w14:paraId="7A22B8E1" w14:textId="77777777" w:rsidR="006037E5" w:rsidRPr="00AE58C7" w:rsidRDefault="006037E5" w:rsidP="00F449BB">
            <w:pPr>
              <w:rPr>
                <w:b/>
                <w:bCs/>
                <w:sz w:val="16"/>
                <w:szCs w:val="16"/>
              </w:rPr>
            </w:pPr>
            <w:r w:rsidRPr="00AE58C7">
              <w:rPr>
                <w:sz w:val="16"/>
                <w:szCs w:val="16"/>
              </w:rPr>
              <w:t xml:space="preserve"> 50-64</w:t>
            </w:r>
          </w:p>
        </w:tc>
        <w:tc>
          <w:tcPr>
            <w:tcW w:w="1571" w:type="dxa"/>
            <w:vAlign w:val="center"/>
          </w:tcPr>
          <w:p w14:paraId="1B8C079E" w14:textId="53AD548B" w:rsidR="003702CF" w:rsidRPr="00E93D95" w:rsidRDefault="00DB403A" w:rsidP="00F449BB">
            <w:pPr>
              <w:jc w:val="center"/>
              <w:rPr>
                <w:sz w:val="16"/>
                <w:szCs w:val="16"/>
                <w:vertAlign w:val="superscript"/>
              </w:rPr>
            </w:pPr>
            <w:r>
              <w:rPr>
                <w:sz w:val="16"/>
                <w:szCs w:val="16"/>
              </w:rPr>
              <w:t>-0.033</w:t>
            </w:r>
            <w:r w:rsidR="00E93D95">
              <w:rPr>
                <w:sz w:val="16"/>
                <w:szCs w:val="16"/>
                <w:vertAlign w:val="superscript"/>
              </w:rPr>
              <w:t>+</w:t>
            </w:r>
          </w:p>
          <w:p w14:paraId="364066D3" w14:textId="514B6C26" w:rsidR="00DB403A" w:rsidRPr="00AE58C7" w:rsidRDefault="00DB403A" w:rsidP="00F449BB">
            <w:pPr>
              <w:jc w:val="center"/>
              <w:rPr>
                <w:sz w:val="16"/>
                <w:szCs w:val="16"/>
              </w:rPr>
            </w:pPr>
            <w:r>
              <w:rPr>
                <w:sz w:val="16"/>
                <w:szCs w:val="16"/>
              </w:rPr>
              <w:t>(0.019)</w:t>
            </w:r>
          </w:p>
        </w:tc>
        <w:tc>
          <w:tcPr>
            <w:tcW w:w="1572" w:type="dxa"/>
            <w:gridSpan w:val="2"/>
            <w:tcBorders>
              <w:right w:val="single" w:sz="4" w:space="0" w:color="auto"/>
            </w:tcBorders>
            <w:vAlign w:val="center"/>
          </w:tcPr>
          <w:p w14:paraId="65E4D16C" w14:textId="18CEF1F9" w:rsidR="006037E5" w:rsidRPr="00787254" w:rsidRDefault="00787254" w:rsidP="00F449BB">
            <w:pPr>
              <w:jc w:val="center"/>
              <w:rPr>
                <w:sz w:val="16"/>
                <w:szCs w:val="16"/>
                <w:vertAlign w:val="superscript"/>
              </w:rPr>
            </w:pPr>
            <w:r>
              <w:rPr>
                <w:sz w:val="16"/>
                <w:szCs w:val="16"/>
              </w:rPr>
              <w:t>-0.032</w:t>
            </w:r>
            <w:r>
              <w:rPr>
                <w:sz w:val="16"/>
                <w:szCs w:val="16"/>
                <w:vertAlign w:val="superscript"/>
              </w:rPr>
              <w:t>+</w:t>
            </w:r>
          </w:p>
          <w:p w14:paraId="4E71A9EC" w14:textId="7CF9DE37" w:rsidR="00787254" w:rsidRPr="00AE58C7" w:rsidRDefault="00787254" w:rsidP="00F449BB">
            <w:pPr>
              <w:jc w:val="center"/>
              <w:rPr>
                <w:sz w:val="16"/>
                <w:szCs w:val="16"/>
              </w:rPr>
            </w:pPr>
            <w:r>
              <w:rPr>
                <w:sz w:val="16"/>
                <w:szCs w:val="16"/>
              </w:rPr>
              <w:t>(0.019)</w:t>
            </w:r>
          </w:p>
        </w:tc>
        <w:tc>
          <w:tcPr>
            <w:tcW w:w="1571" w:type="dxa"/>
            <w:tcBorders>
              <w:left w:val="single" w:sz="4" w:space="0" w:color="auto"/>
            </w:tcBorders>
          </w:tcPr>
          <w:p w14:paraId="58DA9298" w14:textId="77777777" w:rsidR="006037E5" w:rsidRDefault="00F737E3" w:rsidP="00F449BB">
            <w:pPr>
              <w:jc w:val="center"/>
              <w:rPr>
                <w:sz w:val="16"/>
                <w:szCs w:val="16"/>
              </w:rPr>
            </w:pPr>
            <w:r>
              <w:rPr>
                <w:sz w:val="16"/>
                <w:szCs w:val="16"/>
              </w:rPr>
              <w:t>-0.013</w:t>
            </w:r>
          </w:p>
          <w:p w14:paraId="3F573C98" w14:textId="3E03A9BA" w:rsidR="00F737E3" w:rsidRPr="00AE58C7" w:rsidRDefault="00F737E3" w:rsidP="00F449BB">
            <w:pPr>
              <w:jc w:val="center"/>
              <w:rPr>
                <w:sz w:val="16"/>
                <w:szCs w:val="16"/>
              </w:rPr>
            </w:pPr>
            <w:r>
              <w:rPr>
                <w:sz w:val="16"/>
                <w:szCs w:val="16"/>
              </w:rPr>
              <w:t>(0.022)</w:t>
            </w:r>
          </w:p>
        </w:tc>
        <w:tc>
          <w:tcPr>
            <w:tcW w:w="1572" w:type="dxa"/>
          </w:tcPr>
          <w:p w14:paraId="45008E29" w14:textId="77777777" w:rsidR="006037E5" w:rsidRDefault="00404BAD" w:rsidP="00F449BB">
            <w:pPr>
              <w:jc w:val="center"/>
              <w:rPr>
                <w:sz w:val="16"/>
                <w:szCs w:val="16"/>
              </w:rPr>
            </w:pPr>
            <w:r>
              <w:rPr>
                <w:sz w:val="16"/>
                <w:szCs w:val="16"/>
              </w:rPr>
              <w:t>-0.019</w:t>
            </w:r>
          </w:p>
          <w:p w14:paraId="29CD11CF" w14:textId="11A7713D" w:rsidR="00404BAD" w:rsidRPr="00AE58C7" w:rsidRDefault="00404BAD" w:rsidP="00F449BB">
            <w:pPr>
              <w:jc w:val="center"/>
              <w:rPr>
                <w:sz w:val="16"/>
                <w:szCs w:val="16"/>
              </w:rPr>
            </w:pPr>
            <w:r>
              <w:rPr>
                <w:sz w:val="16"/>
                <w:szCs w:val="16"/>
              </w:rPr>
              <w:t>(0.023)</w:t>
            </w:r>
          </w:p>
        </w:tc>
      </w:tr>
      <w:tr w:rsidR="006037E5" w:rsidRPr="00AE58C7" w14:paraId="46282E7D" w14:textId="77777777" w:rsidTr="00F449BB">
        <w:tc>
          <w:tcPr>
            <w:tcW w:w="2740" w:type="dxa"/>
            <w:vAlign w:val="center"/>
          </w:tcPr>
          <w:p w14:paraId="6276FB03" w14:textId="77777777" w:rsidR="006037E5" w:rsidRPr="00AE58C7" w:rsidRDefault="006037E5" w:rsidP="00F449BB">
            <w:pPr>
              <w:rPr>
                <w:b/>
                <w:bCs/>
                <w:sz w:val="16"/>
                <w:szCs w:val="16"/>
              </w:rPr>
            </w:pPr>
            <w:r w:rsidRPr="00AE58C7">
              <w:rPr>
                <w:sz w:val="16"/>
                <w:szCs w:val="16"/>
              </w:rPr>
              <w:t xml:space="preserve"> 65+</w:t>
            </w:r>
          </w:p>
        </w:tc>
        <w:tc>
          <w:tcPr>
            <w:tcW w:w="1571" w:type="dxa"/>
            <w:vAlign w:val="center"/>
          </w:tcPr>
          <w:p w14:paraId="6CDC7CEB" w14:textId="497975E9" w:rsidR="003702CF" w:rsidRDefault="00B42B8B" w:rsidP="00F449BB">
            <w:pPr>
              <w:jc w:val="center"/>
              <w:rPr>
                <w:sz w:val="16"/>
                <w:szCs w:val="16"/>
              </w:rPr>
            </w:pPr>
            <w:r>
              <w:rPr>
                <w:sz w:val="16"/>
                <w:szCs w:val="16"/>
              </w:rPr>
              <w:t>-0.086</w:t>
            </w:r>
            <w:r w:rsidR="00E93D95">
              <w:rPr>
                <w:sz w:val="16"/>
                <w:szCs w:val="16"/>
              </w:rPr>
              <w:t>***</w:t>
            </w:r>
          </w:p>
          <w:p w14:paraId="562F124D" w14:textId="763AFBFB" w:rsidR="00B42B8B" w:rsidRPr="00AE58C7" w:rsidRDefault="00B42B8B" w:rsidP="00F449BB">
            <w:pPr>
              <w:jc w:val="center"/>
              <w:rPr>
                <w:sz w:val="16"/>
                <w:szCs w:val="16"/>
              </w:rPr>
            </w:pPr>
            <w:r>
              <w:rPr>
                <w:sz w:val="16"/>
                <w:szCs w:val="16"/>
              </w:rPr>
              <w:t>(0.019)</w:t>
            </w:r>
          </w:p>
        </w:tc>
        <w:tc>
          <w:tcPr>
            <w:tcW w:w="1572" w:type="dxa"/>
            <w:gridSpan w:val="2"/>
            <w:tcBorders>
              <w:right w:val="single" w:sz="4" w:space="0" w:color="auto"/>
            </w:tcBorders>
            <w:vAlign w:val="center"/>
          </w:tcPr>
          <w:p w14:paraId="4CD804E0" w14:textId="020DD6CD" w:rsidR="006037E5" w:rsidRDefault="00787254" w:rsidP="00F449BB">
            <w:pPr>
              <w:jc w:val="center"/>
              <w:rPr>
                <w:sz w:val="16"/>
                <w:szCs w:val="16"/>
              </w:rPr>
            </w:pPr>
            <w:r>
              <w:rPr>
                <w:sz w:val="16"/>
                <w:szCs w:val="16"/>
              </w:rPr>
              <w:t>-0.086***</w:t>
            </w:r>
          </w:p>
          <w:p w14:paraId="6D0FBE2D" w14:textId="7B8C1641" w:rsidR="00787254" w:rsidRPr="00AE58C7" w:rsidRDefault="00787254" w:rsidP="00F449BB">
            <w:pPr>
              <w:jc w:val="center"/>
              <w:rPr>
                <w:sz w:val="16"/>
                <w:szCs w:val="16"/>
              </w:rPr>
            </w:pPr>
            <w:r>
              <w:rPr>
                <w:sz w:val="16"/>
                <w:szCs w:val="16"/>
              </w:rPr>
              <w:t>(0.019)</w:t>
            </w:r>
          </w:p>
        </w:tc>
        <w:tc>
          <w:tcPr>
            <w:tcW w:w="1571" w:type="dxa"/>
            <w:tcBorders>
              <w:left w:val="single" w:sz="4" w:space="0" w:color="auto"/>
            </w:tcBorders>
          </w:tcPr>
          <w:p w14:paraId="3E7583F5" w14:textId="3CA4B7FD" w:rsidR="006037E5" w:rsidRDefault="00F737E3" w:rsidP="00F449BB">
            <w:pPr>
              <w:jc w:val="center"/>
              <w:rPr>
                <w:sz w:val="16"/>
                <w:szCs w:val="16"/>
              </w:rPr>
            </w:pPr>
            <w:r>
              <w:rPr>
                <w:sz w:val="16"/>
                <w:szCs w:val="16"/>
              </w:rPr>
              <w:t>0.060</w:t>
            </w:r>
            <w:r w:rsidR="005447CC">
              <w:rPr>
                <w:sz w:val="16"/>
                <w:szCs w:val="16"/>
              </w:rPr>
              <w:t>*</w:t>
            </w:r>
          </w:p>
          <w:p w14:paraId="622FA673" w14:textId="118529E4" w:rsidR="00F737E3" w:rsidRPr="00AE58C7" w:rsidRDefault="00F737E3" w:rsidP="00F449BB">
            <w:pPr>
              <w:jc w:val="center"/>
              <w:rPr>
                <w:sz w:val="16"/>
                <w:szCs w:val="16"/>
              </w:rPr>
            </w:pPr>
            <w:r>
              <w:rPr>
                <w:sz w:val="16"/>
                <w:szCs w:val="16"/>
              </w:rPr>
              <w:t>(0.02</w:t>
            </w:r>
            <w:r w:rsidR="005447CC">
              <w:rPr>
                <w:sz w:val="16"/>
                <w:szCs w:val="16"/>
              </w:rPr>
              <w:t>4)</w:t>
            </w:r>
          </w:p>
        </w:tc>
        <w:tc>
          <w:tcPr>
            <w:tcW w:w="1572" w:type="dxa"/>
          </w:tcPr>
          <w:p w14:paraId="3C3B3F95" w14:textId="7D26B504" w:rsidR="006037E5" w:rsidRDefault="00404BAD" w:rsidP="00F449BB">
            <w:pPr>
              <w:jc w:val="center"/>
              <w:rPr>
                <w:sz w:val="16"/>
                <w:szCs w:val="16"/>
              </w:rPr>
            </w:pPr>
            <w:r>
              <w:rPr>
                <w:sz w:val="16"/>
                <w:szCs w:val="16"/>
              </w:rPr>
              <w:t>0.054</w:t>
            </w:r>
            <w:r w:rsidR="00B54291">
              <w:rPr>
                <w:sz w:val="16"/>
                <w:szCs w:val="16"/>
              </w:rPr>
              <w:t>*</w:t>
            </w:r>
          </w:p>
          <w:p w14:paraId="0F68E50F" w14:textId="71C7BA0A" w:rsidR="00404BAD" w:rsidRPr="00AE58C7" w:rsidRDefault="00404BAD" w:rsidP="00F449BB">
            <w:pPr>
              <w:jc w:val="center"/>
              <w:rPr>
                <w:sz w:val="16"/>
                <w:szCs w:val="16"/>
              </w:rPr>
            </w:pPr>
            <w:r>
              <w:rPr>
                <w:sz w:val="16"/>
                <w:szCs w:val="16"/>
              </w:rPr>
              <w:t>(0.024)</w:t>
            </w:r>
          </w:p>
        </w:tc>
      </w:tr>
      <w:tr w:rsidR="006037E5" w:rsidRPr="00AE58C7" w14:paraId="027A6DCE" w14:textId="77777777" w:rsidTr="00F449BB">
        <w:tc>
          <w:tcPr>
            <w:tcW w:w="2740" w:type="dxa"/>
            <w:vAlign w:val="center"/>
          </w:tcPr>
          <w:p w14:paraId="0E8C5A8A" w14:textId="77777777" w:rsidR="006037E5" w:rsidRPr="00AE58C7" w:rsidRDefault="006037E5" w:rsidP="00F449BB">
            <w:pPr>
              <w:rPr>
                <w:b/>
                <w:bCs/>
                <w:sz w:val="16"/>
                <w:szCs w:val="16"/>
              </w:rPr>
            </w:pPr>
            <w:r w:rsidRPr="00AE58C7">
              <w:rPr>
                <w:sz w:val="16"/>
                <w:szCs w:val="16"/>
              </w:rPr>
              <w:t>Good health</w:t>
            </w:r>
          </w:p>
        </w:tc>
        <w:tc>
          <w:tcPr>
            <w:tcW w:w="1571" w:type="dxa"/>
            <w:vAlign w:val="center"/>
          </w:tcPr>
          <w:p w14:paraId="068F97C0" w14:textId="188447AF" w:rsidR="00F0336E" w:rsidRDefault="00B42B8B" w:rsidP="00F449BB">
            <w:pPr>
              <w:jc w:val="center"/>
              <w:rPr>
                <w:sz w:val="16"/>
                <w:szCs w:val="16"/>
              </w:rPr>
            </w:pPr>
            <w:r>
              <w:rPr>
                <w:sz w:val="16"/>
                <w:szCs w:val="16"/>
              </w:rPr>
              <w:t>-0.090***</w:t>
            </w:r>
          </w:p>
          <w:p w14:paraId="1A6643D2" w14:textId="4FA8E8C6" w:rsidR="00B42B8B" w:rsidRPr="00AE58C7" w:rsidRDefault="00B42B8B" w:rsidP="00F449BB">
            <w:pPr>
              <w:jc w:val="center"/>
              <w:rPr>
                <w:sz w:val="16"/>
                <w:szCs w:val="16"/>
              </w:rPr>
            </w:pPr>
            <w:r>
              <w:rPr>
                <w:sz w:val="16"/>
                <w:szCs w:val="16"/>
              </w:rPr>
              <w:t>(0.020)</w:t>
            </w:r>
          </w:p>
        </w:tc>
        <w:tc>
          <w:tcPr>
            <w:tcW w:w="1572" w:type="dxa"/>
            <w:gridSpan w:val="2"/>
            <w:tcBorders>
              <w:right w:val="single" w:sz="4" w:space="0" w:color="auto"/>
            </w:tcBorders>
            <w:vAlign w:val="center"/>
          </w:tcPr>
          <w:p w14:paraId="410A4E42" w14:textId="34441FF6" w:rsidR="006037E5" w:rsidRDefault="008A5BEC" w:rsidP="00F449BB">
            <w:pPr>
              <w:jc w:val="center"/>
              <w:rPr>
                <w:sz w:val="16"/>
                <w:szCs w:val="16"/>
              </w:rPr>
            </w:pPr>
            <w:r>
              <w:rPr>
                <w:sz w:val="16"/>
                <w:szCs w:val="16"/>
              </w:rPr>
              <w:t>-0.079***</w:t>
            </w:r>
          </w:p>
          <w:p w14:paraId="43501D39" w14:textId="4D091D20" w:rsidR="008A5BEC" w:rsidRPr="00AE58C7" w:rsidRDefault="008A5BEC" w:rsidP="00F449BB">
            <w:pPr>
              <w:jc w:val="center"/>
              <w:rPr>
                <w:sz w:val="16"/>
                <w:szCs w:val="16"/>
              </w:rPr>
            </w:pPr>
            <w:r>
              <w:rPr>
                <w:sz w:val="16"/>
                <w:szCs w:val="16"/>
              </w:rPr>
              <w:t>(0.020)</w:t>
            </w:r>
          </w:p>
        </w:tc>
        <w:tc>
          <w:tcPr>
            <w:tcW w:w="1571" w:type="dxa"/>
            <w:tcBorders>
              <w:left w:val="single" w:sz="4" w:space="0" w:color="auto"/>
            </w:tcBorders>
          </w:tcPr>
          <w:p w14:paraId="0A7A456B" w14:textId="6486ECB5" w:rsidR="006037E5" w:rsidRDefault="005447CC" w:rsidP="00F449BB">
            <w:pPr>
              <w:jc w:val="center"/>
              <w:rPr>
                <w:sz w:val="16"/>
                <w:szCs w:val="16"/>
              </w:rPr>
            </w:pPr>
            <w:r>
              <w:rPr>
                <w:sz w:val="16"/>
                <w:szCs w:val="16"/>
              </w:rPr>
              <w:t>0.240***</w:t>
            </w:r>
          </w:p>
          <w:p w14:paraId="41738101" w14:textId="7F3F065F" w:rsidR="005447CC" w:rsidRPr="00AE58C7" w:rsidRDefault="005447CC" w:rsidP="00F449BB">
            <w:pPr>
              <w:jc w:val="center"/>
              <w:rPr>
                <w:sz w:val="16"/>
                <w:szCs w:val="16"/>
              </w:rPr>
            </w:pPr>
            <w:r>
              <w:rPr>
                <w:sz w:val="16"/>
                <w:szCs w:val="16"/>
              </w:rPr>
              <w:t>(0.025)</w:t>
            </w:r>
          </w:p>
        </w:tc>
        <w:tc>
          <w:tcPr>
            <w:tcW w:w="1572" w:type="dxa"/>
          </w:tcPr>
          <w:p w14:paraId="5EB8F5B4" w14:textId="4C2B3976" w:rsidR="006037E5" w:rsidRDefault="00B54291" w:rsidP="00F449BB">
            <w:pPr>
              <w:jc w:val="center"/>
              <w:rPr>
                <w:sz w:val="16"/>
                <w:szCs w:val="16"/>
              </w:rPr>
            </w:pPr>
            <w:r>
              <w:rPr>
                <w:sz w:val="16"/>
                <w:szCs w:val="16"/>
              </w:rPr>
              <w:t>0.221</w:t>
            </w:r>
            <w:r w:rsidR="0019216F">
              <w:rPr>
                <w:sz w:val="16"/>
                <w:szCs w:val="16"/>
              </w:rPr>
              <w:t>***</w:t>
            </w:r>
          </w:p>
          <w:p w14:paraId="470E164D" w14:textId="74FD2775" w:rsidR="00B54291" w:rsidRPr="00AE58C7" w:rsidRDefault="00B54291" w:rsidP="00F449BB">
            <w:pPr>
              <w:jc w:val="center"/>
              <w:rPr>
                <w:sz w:val="16"/>
                <w:szCs w:val="16"/>
              </w:rPr>
            </w:pPr>
            <w:r>
              <w:rPr>
                <w:sz w:val="16"/>
                <w:szCs w:val="16"/>
              </w:rPr>
              <w:t>(0.024)</w:t>
            </w:r>
          </w:p>
        </w:tc>
      </w:tr>
      <w:tr w:rsidR="006037E5" w:rsidRPr="00AE58C7" w14:paraId="63DE5F56" w14:textId="77777777" w:rsidTr="00F449BB">
        <w:tc>
          <w:tcPr>
            <w:tcW w:w="2740" w:type="dxa"/>
            <w:vAlign w:val="center"/>
          </w:tcPr>
          <w:p w14:paraId="2DD3258B" w14:textId="77777777" w:rsidR="006037E5" w:rsidRPr="00AE58C7" w:rsidRDefault="006037E5" w:rsidP="00F449BB">
            <w:pPr>
              <w:rPr>
                <w:b/>
                <w:bCs/>
                <w:sz w:val="16"/>
                <w:szCs w:val="16"/>
              </w:rPr>
            </w:pPr>
            <w:r w:rsidRPr="00AE58C7">
              <w:rPr>
                <w:sz w:val="16"/>
                <w:szCs w:val="16"/>
              </w:rPr>
              <w:t>Disability</w:t>
            </w:r>
          </w:p>
        </w:tc>
        <w:tc>
          <w:tcPr>
            <w:tcW w:w="1571" w:type="dxa"/>
            <w:vAlign w:val="center"/>
          </w:tcPr>
          <w:p w14:paraId="3C59626B" w14:textId="63420AB1" w:rsidR="00F0336E" w:rsidRDefault="00E93D95" w:rsidP="00F449BB">
            <w:pPr>
              <w:jc w:val="center"/>
              <w:rPr>
                <w:sz w:val="16"/>
                <w:szCs w:val="16"/>
              </w:rPr>
            </w:pPr>
            <w:r>
              <w:rPr>
                <w:sz w:val="16"/>
                <w:szCs w:val="16"/>
              </w:rPr>
              <w:t>0.098***</w:t>
            </w:r>
          </w:p>
          <w:p w14:paraId="6D1DDC1B" w14:textId="2B5F9EC2" w:rsidR="00E93D95" w:rsidRPr="00AE58C7" w:rsidRDefault="00E93D95" w:rsidP="00F449BB">
            <w:pPr>
              <w:jc w:val="center"/>
              <w:rPr>
                <w:sz w:val="16"/>
                <w:szCs w:val="16"/>
              </w:rPr>
            </w:pPr>
            <w:r>
              <w:rPr>
                <w:sz w:val="16"/>
                <w:szCs w:val="16"/>
              </w:rPr>
              <w:t>(0.020)</w:t>
            </w:r>
          </w:p>
        </w:tc>
        <w:tc>
          <w:tcPr>
            <w:tcW w:w="1572" w:type="dxa"/>
            <w:gridSpan w:val="2"/>
            <w:tcBorders>
              <w:right w:val="single" w:sz="4" w:space="0" w:color="auto"/>
            </w:tcBorders>
            <w:vAlign w:val="center"/>
          </w:tcPr>
          <w:p w14:paraId="1D3495EB" w14:textId="5B2F95AF" w:rsidR="006037E5" w:rsidRDefault="008A5BEC" w:rsidP="00F449BB">
            <w:pPr>
              <w:jc w:val="center"/>
              <w:rPr>
                <w:sz w:val="16"/>
                <w:szCs w:val="16"/>
              </w:rPr>
            </w:pPr>
            <w:r>
              <w:rPr>
                <w:sz w:val="16"/>
                <w:szCs w:val="16"/>
              </w:rPr>
              <w:t>0.087***</w:t>
            </w:r>
          </w:p>
          <w:p w14:paraId="5238102E" w14:textId="1AFE5E40" w:rsidR="008A5BEC" w:rsidRPr="00AE58C7" w:rsidRDefault="008A5BEC" w:rsidP="00F449BB">
            <w:pPr>
              <w:jc w:val="center"/>
              <w:rPr>
                <w:sz w:val="16"/>
                <w:szCs w:val="16"/>
              </w:rPr>
            </w:pPr>
            <w:r>
              <w:rPr>
                <w:sz w:val="16"/>
                <w:szCs w:val="16"/>
              </w:rPr>
              <w:t>(0.018)</w:t>
            </w:r>
          </w:p>
        </w:tc>
        <w:tc>
          <w:tcPr>
            <w:tcW w:w="1571" w:type="dxa"/>
            <w:tcBorders>
              <w:left w:val="single" w:sz="4" w:space="0" w:color="auto"/>
            </w:tcBorders>
          </w:tcPr>
          <w:p w14:paraId="4F38552D" w14:textId="4DD3BEE7" w:rsidR="006037E5" w:rsidRDefault="005447CC" w:rsidP="00F449BB">
            <w:pPr>
              <w:jc w:val="center"/>
              <w:rPr>
                <w:sz w:val="16"/>
                <w:szCs w:val="16"/>
              </w:rPr>
            </w:pPr>
            <w:r>
              <w:rPr>
                <w:sz w:val="16"/>
                <w:szCs w:val="16"/>
              </w:rPr>
              <w:t>-0.083***</w:t>
            </w:r>
          </w:p>
          <w:p w14:paraId="4364913A" w14:textId="18952ACA" w:rsidR="005447CC" w:rsidRPr="00AE58C7" w:rsidRDefault="005447CC" w:rsidP="00F449BB">
            <w:pPr>
              <w:jc w:val="center"/>
              <w:rPr>
                <w:sz w:val="16"/>
                <w:szCs w:val="16"/>
              </w:rPr>
            </w:pPr>
            <w:r>
              <w:rPr>
                <w:sz w:val="16"/>
                <w:szCs w:val="16"/>
              </w:rPr>
              <w:t>(0.021)</w:t>
            </w:r>
          </w:p>
        </w:tc>
        <w:tc>
          <w:tcPr>
            <w:tcW w:w="1572" w:type="dxa"/>
          </w:tcPr>
          <w:p w14:paraId="63AC4E40" w14:textId="5694199A" w:rsidR="006037E5" w:rsidRDefault="00B54291" w:rsidP="00F449BB">
            <w:pPr>
              <w:jc w:val="center"/>
              <w:rPr>
                <w:sz w:val="16"/>
                <w:szCs w:val="16"/>
              </w:rPr>
            </w:pPr>
            <w:r>
              <w:rPr>
                <w:sz w:val="16"/>
                <w:szCs w:val="16"/>
              </w:rPr>
              <w:t>-0.070**</w:t>
            </w:r>
          </w:p>
          <w:p w14:paraId="7E678175" w14:textId="4C1A5F6B" w:rsidR="00B54291" w:rsidRPr="00AE58C7" w:rsidRDefault="00B54291" w:rsidP="00F449BB">
            <w:pPr>
              <w:jc w:val="center"/>
              <w:rPr>
                <w:sz w:val="16"/>
                <w:szCs w:val="16"/>
              </w:rPr>
            </w:pPr>
            <w:r>
              <w:rPr>
                <w:sz w:val="16"/>
                <w:szCs w:val="16"/>
              </w:rPr>
              <w:t>(0.020)</w:t>
            </w:r>
          </w:p>
        </w:tc>
      </w:tr>
      <w:tr w:rsidR="006037E5" w:rsidRPr="00AE58C7" w14:paraId="70C5036F" w14:textId="77777777" w:rsidTr="00F449BB">
        <w:tc>
          <w:tcPr>
            <w:tcW w:w="2740" w:type="dxa"/>
            <w:vAlign w:val="center"/>
          </w:tcPr>
          <w:p w14:paraId="64FC4D91" w14:textId="77777777" w:rsidR="006037E5" w:rsidRPr="00AE58C7" w:rsidRDefault="006037E5" w:rsidP="00F449BB">
            <w:pPr>
              <w:rPr>
                <w:b/>
                <w:bCs/>
                <w:sz w:val="16"/>
                <w:szCs w:val="16"/>
              </w:rPr>
            </w:pPr>
            <w:r w:rsidRPr="00AE58C7">
              <w:rPr>
                <w:sz w:val="16"/>
                <w:szCs w:val="16"/>
              </w:rPr>
              <w:t>Not born in Ireland</w:t>
            </w:r>
          </w:p>
        </w:tc>
        <w:tc>
          <w:tcPr>
            <w:tcW w:w="1571" w:type="dxa"/>
            <w:vAlign w:val="center"/>
          </w:tcPr>
          <w:p w14:paraId="1FB93AEE" w14:textId="77777777" w:rsidR="00F0336E" w:rsidRDefault="00E93D95" w:rsidP="00F449BB">
            <w:pPr>
              <w:jc w:val="center"/>
              <w:rPr>
                <w:sz w:val="16"/>
                <w:szCs w:val="16"/>
              </w:rPr>
            </w:pPr>
            <w:r>
              <w:rPr>
                <w:sz w:val="16"/>
                <w:szCs w:val="16"/>
              </w:rPr>
              <w:t>-0.018</w:t>
            </w:r>
          </w:p>
          <w:p w14:paraId="1D5FD2AF" w14:textId="328C9DF3" w:rsidR="00E93D95" w:rsidRPr="00AE58C7" w:rsidRDefault="00E93D95" w:rsidP="00F449BB">
            <w:pPr>
              <w:jc w:val="center"/>
              <w:rPr>
                <w:sz w:val="16"/>
                <w:szCs w:val="16"/>
              </w:rPr>
            </w:pPr>
            <w:r>
              <w:rPr>
                <w:sz w:val="16"/>
                <w:szCs w:val="16"/>
              </w:rPr>
              <w:t>(0.013)</w:t>
            </w:r>
          </w:p>
        </w:tc>
        <w:tc>
          <w:tcPr>
            <w:tcW w:w="1572" w:type="dxa"/>
            <w:gridSpan w:val="2"/>
            <w:tcBorders>
              <w:right w:val="single" w:sz="4" w:space="0" w:color="auto"/>
            </w:tcBorders>
            <w:vAlign w:val="center"/>
          </w:tcPr>
          <w:p w14:paraId="54E42805" w14:textId="77777777" w:rsidR="006037E5" w:rsidRDefault="002840EB" w:rsidP="00F449BB">
            <w:pPr>
              <w:jc w:val="center"/>
              <w:rPr>
                <w:sz w:val="16"/>
                <w:szCs w:val="16"/>
              </w:rPr>
            </w:pPr>
            <w:r>
              <w:rPr>
                <w:sz w:val="16"/>
                <w:szCs w:val="16"/>
              </w:rPr>
              <w:t>-0.012</w:t>
            </w:r>
          </w:p>
          <w:p w14:paraId="3E448143" w14:textId="21F5602C" w:rsidR="002840EB" w:rsidRPr="00AE58C7" w:rsidRDefault="002840EB" w:rsidP="00F449BB">
            <w:pPr>
              <w:jc w:val="center"/>
              <w:rPr>
                <w:sz w:val="16"/>
                <w:szCs w:val="16"/>
              </w:rPr>
            </w:pPr>
            <w:r>
              <w:rPr>
                <w:sz w:val="16"/>
                <w:szCs w:val="16"/>
              </w:rPr>
              <w:t>(0.012)</w:t>
            </w:r>
          </w:p>
        </w:tc>
        <w:tc>
          <w:tcPr>
            <w:tcW w:w="1571" w:type="dxa"/>
            <w:tcBorders>
              <w:left w:val="single" w:sz="4" w:space="0" w:color="auto"/>
            </w:tcBorders>
          </w:tcPr>
          <w:p w14:paraId="5095FC4C" w14:textId="77777777" w:rsidR="006037E5" w:rsidRDefault="005447CC" w:rsidP="00F449BB">
            <w:pPr>
              <w:jc w:val="center"/>
              <w:rPr>
                <w:sz w:val="16"/>
                <w:szCs w:val="16"/>
              </w:rPr>
            </w:pPr>
            <w:r>
              <w:rPr>
                <w:sz w:val="16"/>
                <w:szCs w:val="16"/>
              </w:rPr>
              <w:t>0.015</w:t>
            </w:r>
          </w:p>
          <w:p w14:paraId="0E06847D" w14:textId="034F3840" w:rsidR="005447CC" w:rsidRPr="00AE58C7" w:rsidRDefault="005447CC" w:rsidP="00F449BB">
            <w:pPr>
              <w:jc w:val="center"/>
              <w:rPr>
                <w:sz w:val="16"/>
                <w:szCs w:val="16"/>
              </w:rPr>
            </w:pPr>
            <w:r>
              <w:rPr>
                <w:sz w:val="16"/>
                <w:szCs w:val="16"/>
              </w:rPr>
              <w:t>(0.016)</w:t>
            </w:r>
          </w:p>
        </w:tc>
        <w:tc>
          <w:tcPr>
            <w:tcW w:w="1572" w:type="dxa"/>
          </w:tcPr>
          <w:p w14:paraId="0C226EBE" w14:textId="77777777" w:rsidR="006037E5" w:rsidRDefault="00B54291" w:rsidP="00F449BB">
            <w:pPr>
              <w:jc w:val="center"/>
              <w:rPr>
                <w:sz w:val="16"/>
                <w:szCs w:val="16"/>
              </w:rPr>
            </w:pPr>
            <w:r>
              <w:rPr>
                <w:sz w:val="16"/>
                <w:szCs w:val="16"/>
              </w:rPr>
              <w:t>0.0</w:t>
            </w:r>
            <w:r w:rsidR="00D60B6D">
              <w:rPr>
                <w:sz w:val="16"/>
                <w:szCs w:val="16"/>
              </w:rPr>
              <w:t>12</w:t>
            </w:r>
          </w:p>
          <w:p w14:paraId="6F2EC83F" w14:textId="13C7C265" w:rsidR="00D60B6D" w:rsidRPr="00AE58C7" w:rsidRDefault="00D60B6D" w:rsidP="00F449BB">
            <w:pPr>
              <w:jc w:val="center"/>
              <w:rPr>
                <w:sz w:val="16"/>
                <w:szCs w:val="16"/>
              </w:rPr>
            </w:pPr>
            <w:r>
              <w:rPr>
                <w:sz w:val="16"/>
                <w:szCs w:val="16"/>
              </w:rPr>
              <w:t>(0.016)</w:t>
            </w:r>
          </w:p>
        </w:tc>
      </w:tr>
      <w:tr w:rsidR="006037E5" w:rsidRPr="00AE58C7" w14:paraId="556B7BE8" w14:textId="77777777" w:rsidTr="00F449BB">
        <w:tc>
          <w:tcPr>
            <w:tcW w:w="2740" w:type="dxa"/>
            <w:vAlign w:val="center"/>
          </w:tcPr>
          <w:p w14:paraId="51219E8D" w14:textId="77777777" w:rsidR="006037E5" w:rsidRPr="00AE58C7" w:rsidRDefault="006037E5" w:rsidP="00F449BB">
            <w:pPr>
              <w:rPr>
                <w:sz w:val="16"/>
                <w:szCs w:val="16"/>
              </w:rPr>
            </w:pPr>
            <w:r w:rsidRPr="00AE58C7">
              <w:rPr>
                <w:i/>
                <w:iCs/>
                <w:sz w:val="16"/>
                <w:szCs w:val="16"/>
              </w:rPr>
              <w:t>Marital status (Ref: single)</w:t>
            </w:r>
          </w:p>
        </w:tc>
        <w:tc>
          <w:tcPr>
            <w:tcW w:w="1571" w:type="dxa"/>
            <w:vAlign w:val="center"/>
          </w:tcPr>
          <w:p w14:paraId="11CC705A" w14:textId="77777777" w:rsidR="006037E5" w:rsidRPr="00AE58C7" w:rsidRDefault="006037E5" w:rsidP="00F449BB">
            <w:pPr>
              <w:jc w:val="center"/>
              <w:rPr>
                <w:sz w:val="16"/>
                <w:szCs w:val="16"/>
              </w:rPr>
            </w:pPr>
          </w:p>
        </w:tc>
        <w:tc>
          <w:tcPr>
            <w:tcW w:w="1572" w:type="dxa"/>
            <w:gridSpan w:val="2"/>
            <w:tcBorders>
              <w:right w:val="single" w:sz="4" w:space="0" w:color="auto"/>
            </w:tcBorders>
            <w:vAlign w:val="center"/>
          </w:tcPr>
          <w:p w14:paraId="6AFEDA19" w14:textId="77777777" w:rsidR="006037E5" w:rsidRPr="00AE58C7" w:rsidRDefault="006037E5" w:rsidP="00F449BB">
            <w:pPr>
              <w:jc w:val="center"/>
              <w:rPr>
                <w:sz w:val="16"/>
                <w:szCs w:val="16"/>
              </w:rPr>
            </w:pPr>
          </w:p>
        </w:tc>
        <w:tc>
          <w:tcPr>
            <w:tcW w:w="1571" w:type="dxa"/>
            <w:tcBorders>
              <w:left w:val="single" w:sz="4" w:space="0" w:color="auto"/>
            </w:tcBorders>
          </w:tcPr>
          <w:p w14:paraId="4E01F422" w14:textId="77777777" w:rsidR="006037E5" w:rsidRDefault="006037E5" w:rsidP="00F449BB">
            <w:pPr>
              <w:jc w:val="center"/>
              <w:rPr>
                <w:sz w:val="16"/>
                <w:szCs w:val="16"/>
              </w:rPr>
            </w:pPr>
          </w:p>
        </w:tc>
        <w:tc>
          <w:tcPr>
            <w:tcW w:w="1572" w:type="dxa"/>
          </w:tcPr>
          <w:p w14:paraId="3BFF8A5A" w14:textId="77777777" w:rsidR="006037E5" w:rsidRDefault="006037E5" w:rsidP="00F449BB">
            <w:pPr>
              <w:jc w:val="center"/>
              <w:rPr>
                <w:sz w:val="16"/>
                <w:szCs w:val="16"/>
              </w:rPr>
            </w:pPr>
          </w:p>
        </w:tc>
      </w:tr>
      <w:tr w:rsidR="006037E5" w:rsidRPr="00AE58C7" w14:paraId="5424228B" w14:textId="77777777" w:rsidTr="00F449BB">
        <w:tc>
          <w:tcPr>
            <w:tcW w:w="2740" w:type="dxa"/>
            <w:vAlign w:val="center"/>
          </w:tcPr>
          <w:p w14:paraId="177D4BA0" w14:textId="77777777" w:rsidR="006037E5" w:rsidRPr="00AE58C7" w:rsidRDefault="006037E5" w:rsidP="00F449BB">
            <w:pPr>
              <w:rPr>
                <w:b/>
                <w:bCs/>
                <w:sz w:val="16"/>
                <w:szCs w:val="16"/>
              </w:rPr>
            </w:pPr>
            <w:r w:rsidRPr="00AE58C7">
              <w:rPr>
                <w:sz w:val="16"/>
                <w:szCs w:val="16"/>
              </w:rPr>
              <w:t xml:space="preserve"> Married/</w:t>
            </w:r>
            <w:r>
              <w:rPr>
                <w:sz w:val="16"/>
                <w:szCs w:val="16"/>
              </w:rPr>
              <w:t>c</w:t>
            </w:r>
            <w:r w:rsidRPr="00AE58C7">
              <w:rPr>
                <w:sz w:val="16"/>
                <w:szCs w:val="16"/>
              </w:rPr>
              <w:t>ivil partnership</w:t>
            </w:r>
          </w:p>
        </w:tc>
        <w:tc>
          <w:tcPr>
            <w:tcW w:w="1571" w:type="dxa"/>
            <w:vAlign w:val="center"/>
          </w:tcPr>
          <w:p w14:paraId="7F8A0D42" w14:textId="4043195E" w:rsidR="00FE2C41" w:rsidRDefault="00227140" w:rsidP="00F449BB">
            <w:pPr>
              <w:jc w:val="center"/>
              <w:rPr>
                <w:sz w:val="16"/>
                <w:szCs w:val="16"/>
              </w:rPr>
            </w:pPr>
            <w:r>
              <w:rPr>
                <w:sz w:val="16"/>
                <w:szCs w:val="16"/>
              </w:rPr>
              <w:t>-0.356*</w:t>
            </w:r>
          </w:p>
          <w:p w14:paraId="50C6B766" w14:textId="5C1FA93C" w:rsidR="00227140" w:rsidRPr="00AE58C7" w:rsidRDefault="00227140" w:rsidP="00F449BB">
            <w:pPr>
              <w:jc w:val="center"/>
              <w:rPr>
                <w:sz w:val="16"/>
                <w:szCs w:val="16"/>
              </w:rPr>
            </w:pPr>
            <w:r>
              <w:rPr>
                <w:sz w:val="16"/>
                <w:szCs w:val="16"/>
              </w:rPr>
              <w:t>(0.014)</w:t>
            </w:r>
          </w:p>
        </w:tc>
        <w:tc>
          <w:tcPr>
            <w:tcW w:w="1572" w:type="dxa"/>
            <w:gridSpan w:val="2"/>
            <w:tcBorders>
              <w:right w:val="single" w:sz="4" w:space="0" w:color="auto"/>
            </w:tcBorders>
            <w:vAlign w:val="center"/>
          </w:tcPr>
          <w:p w14:paraId="07990EDE" w14:textId="0398356C" w:rsidR="006037E5" w:rsidRDefault="002840EB" w:rsidP="00F449BB">
            <w:pPr>
              <w:jc w:val="center"/>
              <w:rPr>
                <w:sz w:val="16"/>
                <w:szCs w:val="16"/>
              </w:rPr>
            </w:pPr>
            <w:r>
              <w:rPr>
                <w:sz w:val="16"/>
                <w:szCs w:val="16"/>
              </w:rPr>
              <w:t>-0.030*</w:t>
            </w:r>
          </w:p>
          <w:p w14:paraId="4E76EAA0" w14:textId="09A7C0B2" w:rsidR="002840EB" w:rsidRPr="00AE58C7" w:rsidRDefault="002840EB" w:rsidP="00F449BB">
            <w:pPr>
              <w:jc w:val="center"/>
              <w:rPr>
                <w:sz w:val="16"/>
                <w:szCs w:val="16"/>
              </w:rPr>
            </w:pPr>
            <w:r>
              <w:rPr>
                <w:sz w:val="16"/>
                <w:szCs w:val="16"/>
              </w:rPr>
              <w:t>(0.014)</w:t>
            </w:r>
          </w:p>
        </w:tc>
        <w:tc>
          <w:tcPr>
            <w:tcW w:w="1571" w:type="dxa"/>
            <w:tcBorders>
              <w:left w:val="single" w:sz="4" w:space="0" w:color="auto"/>
            </w:tcBorders>
          </w:tcPr>
          <w:p w14:paraId="2A76A27E" w14:textId="4E1F13BC" w:rsidR="006037E5" w:rsidRDefault="00AC186D" w:rsidP="00F449BB">
            <w:pPr>
              <w:jc w:val="center"/>
              <w:rPr>
                <w:sz w:val="16"/>
                <w:szCs w:val="16"/>
              </w:rPr>
            </w:pPr>
            <w:r>
              <w:rPr>
                <w:sz w:val="16"/>
                <w:szCs w:val="16"/>
              </w:rPr>
              <w:t>0.046**</w:t>
            </w:r>
          </w:p>
          <w:p w14:paraId="6D379D0D" w14:textId="220EF1F0" w:rsidR="00AC186D" w:rsidRPr="00AE58C7" w:rsidRDefault="00AC186D" w:rsidP="00F449BB">
            <w:pPr>
              <w:jc w:val="center"/>
              <w:rPr>
                <w:sz w:val="16"/>
                <w:szCs w:val="16"/>
              </w:rPr>
            </w:pPr>
            <w:r>
              <w:rPr>
                <w:sz w:val="16"/>
                <w:szCs w:val="16"/>
              </w:rPr>
              <w:t>(0.016)</w:t>
            </w:r>
          </w:p>
        </w:tc>
        <w:tc>
          <w:tcPr>
            <w:tcW w:w="1572" w:type="dxa"/>
          </w:tcPr>
          <w:p w14:paraId="5E95B2C9" w14:textId="7FA784A3" w:rsidR="006037E5" w:rsidRDefault="00D60B6D" w:rsidP="00F449BB">
            <w:pPr>
              <w:jc w:val="center"/>
              <w:rPr>
                <w:sz w:val="16"/>
                <w:szCs w:val="16"/>
              </w:rPr>
            </w:pPr>
            <w:r>
              <w:rPr>
                <w:sz w:val="16"/>
                <w:szCs w:val="16"/>
              </w:rPr>
              <w:t>0.039*</w:t>
            </w:r>
          </w:p>
          <w:p w14:paraId="19BBC93F" w14:textId="5BAA1B71" w:rsidR="00D60B6D" w:rsidRPr="00AE58C7" w:rsidRDefault="00D60B6D" w:rsidP="00F449BB">
            <w:pPr>
              <w:jc w:val="center"/>
              <w:rPr>
                <w:sz w:val="16"/>
                <w:szCs w:val="16"/>
              </w:rPr>
            </w:pPr>
            <w:r>
              <w:rPr>
                <w:sz w:val="16"/>
                <w:szCs w:val="16"/>
              </w:rPr>
              <w:t>(0.016)</w:t>
            </w:r>
          </w:p>
        </w:tc>
      </w:tr>
      <w:tr w:rsidR="006037E5" w:rsidRPr="00AE58C7" w14:paraId="40952BB4" w14:textId="77777777" w:rsidTr="00F449BB">
        <w:tc>
          <w:tcPr>
            <w:tcW w:w="2740" w:type="dxa"/>
            <w:vAlign w:val="center"/>
          </w:tcPr>
          <w:p w14:paraId="094E123B" w14:textId="77777777" w:rsidR="006037E5" w:rsidRPr="00AE58C7" w:rsidRDefault="006037E5" w:rsidP="00F449BB">
            <w:pPr>
              <w:rPr>
                <w:b/>
                <w:bCs/>
                <w:sz w:val="16"/>
                <w:szCs w:val="16"/>
              </w:rPr>
            </w:pPr>
            <w:r w:rsidRPr="00AE58C7">
              <w:rPr>
                <w:sz w:val="16"/>
                <w:szCs w:val="16"/>
              </w:rPr>
              <w:t xml:space="preserve"> Separated/divorced</w:t>
            </w:r>
          </w:p>
        </w:tc>
        <w:tc>
          <w:tcPr>
            <w:tcW w:w="1571" w:type="dxa"/>
            <w:vAlign w:val="center"/>
          </w:tcPr>
          <w:p w14:paraId="2BE1922F" w14:textId="1A71B7AD" w:rsidR="00FE2C41" w:rsidRDefault="00227140" w:rsidP="00F449BB">
            <w:pPr>
              <w:jc w:val="center"/>
              <w:rPr>
                <w:sz w:val="16"/>
                <w:szCs w:val="16"/>
              </w:rPr>
            </w:pPr>
            <w:r>
              <w:rPr>
                <w:sz w:val="16"/>
                <w:szCs w:val="16"/>
              </w:rPr>
              <w:t>-0.048*</w:t>
            </w:r>
          </w:p>
          <w:p w14:paraId="02B92FF8" w14:textId="5A3766DB" w:rsidR="00227140" w:rsidRPr="00AE58C7" w:rsidRDefault="00227140" w:rsidP="00F449BB">
            <w:pPr>
              <w:jc w:val="center"/>
              <w:rPr>
                <w:sz w:val="16"/>
                <w:szCs w:val="16"/>
              </w:rPr>
            </w:pPr>
            <w:r>
              <w:rPr>
                <w:sz w:val="16"/>
                <w:szCs w:val="16"/>
              </w:rPr>
              <w:t>(0.023)</w:t>
            </w:r>
          </w:p>
        </w:tc>
        <w:tc>
          <w:tcPr>
            <w:tcW w:w="1572" w:type="dxa"/>
            <w:gridSpan w:val="2"/>
            <w:tcBorders>
              <w:right w:val="single" w:sz="4" w:space="0" w:color="auto"/>
            </w:tcBorders>
            <w:vAlign w:val="center"/>
          </w:tcPr>
          <w:p w14:paraId="1829D87A" w14:textId="668652BC" w:rsidR="006037E5" w:rsidRPr="001E10C9" w:rsidRDefault="002840EB" w:rsidP="00F449BB">
            <w:pPr>
              <w:jc w:val="center"/>
              <w:rPr>
                <w:sz w:val="16"/>
                <w:szCs w:val="16"/>
                <w:vertAlign w:val="superscript"/>
              </w:rPr>
            </w:pPr>
            <w:r>
              <w:rPr>
                <w:sz w:val="16"/>
                <w:szCs w:val="16"/>
              </w:rPr>
              <w:t>-0.044</w:t>
            </w:r>
            <w:r w:rsidR="001E10C9">
              <w:rPr>
                <w:sz w:val="16"/>
                <w:szCs w:val="16"/>
                <w:vertAlign w:val="superscript"/>
              </w:rPr>
              <w:t>+</w:t>
            </w:r>
          </w:p>
          <w:p w14:paraId="4F12C39E" w14:textId="7150E9DB" w:rsidR="002840EB" w:rsidRPr="00AE58C7" w:rsidRDefault="002840EB" w:rsidP="00F449BB">
            <w:pPr>
              <w:jc w:val="center"/>
              <w:rPr>
                <w:sz w:val="16"/>
                <w:szCs w:val="16"/>
              </w:rPr>
            </w:pPr>
            <w:r>
              <w:rPr>
                <w:sz w:val="16"/>
                <w:szCs w:val="16"/>
              </w:rPr>
              <w:t>(0.023)</w:t>
            </w:r>
          </w:p>
        </w:tc>
        <w:tc>
          <w:tcPr>
            <w:tcW w:w="1571" w:type="dxa"/>
            <w:tcBorders>
              <w:left w:val="single" w:sz="4" w:space="0" w:color="auto"/>
            </w:tcBorders>
          </w:tcPr>
          <w:p w14:paraId="48F2CABD" w14:textId="77777777" w:rsidR="006037E5" w:rsidRDefault="00AC186D" w:rsidP="00F449BB">
            <w:pPr>
              <w:jc w:val="center"/>
              <w:rPr>
                <w:sz w:val="16"/>
                <w:szCs w:val="16"/>
              </w:rPr>
            </w:pPr>
            <w:r>
              <w:rPr>
                <w:sz w:val="16"/>
                <w:szCs w:val="16"/>
              </w:rPr>
              <w:t>0.005</w:t>
            </w:r>
          </w:p>
          <w:p w14:paraId="520B4554" w14:textId="095184FA" w:rsidR="00AC186D" w:rsidRPr="00AE58C7" w:rsidRDefault="00AC186D" w:rsidP="00F449BB">
            <w:pPr>
              <w:jc w:val="center"/>
              <w:rPr>
                <w:sz w:val="16"/>
                <w:szCs w:val="16"/>
              </w:rPr>
            </w:pPr>
            <w:r>
              <w:rPr>
                <w:sz w:val="16"/>
                <w:szCs w:val="16"/>
              </w:rPr>
              <w:t>(0.033)</w:t>
            </w:r>
          </w:p>
        </w:tc>
        <w:tc>
          <w:tcPr>
            <w:tcW w:w="1572" w:type="dxa"/>
          </w:tcPr>
          <w:p w14:paraId="74AC8149" w14:textId="77777777" w:rsidR="006037E5" w:rsidRDefault="00D60B6D" w:rsidP="00F449BB">
            <w:pPr>
              <w:jc w:val="center"/>
              <w:rPr>
                <w:sz w:val="16"/>
                <w:szCs w:val="16"/>
              </w:rPr>
            </w:pPr>
            <w:r>
              <w:rPr>
                <w:sz w:val="16"/>
                <w:szCs w:val="16"/>
              </w:rPr>
              <w:t>0.002</w:t>
            </w:r>
          </w:p>
          <w:p w14:paraId="73773E12" w14:textId="41841FF7" w:rsidR="00D60B6D" w:rsidRPr="00AE58C7" w:rsidRDefault="00D60B6D" w:rsidP="00F449BB">
            <w:pPr>
              <w:jc w:val="center"/>
              <w:rPr>
                <w:sz w:val="16"/>
                <w:szCs w:val="16"/>
              </w:rPr>
            </w:pPr>
            <w:r>
              <w:rPr>
                <w:sz w:val="16"/>
                <w:szCs w:val="16"/>
              </w:rPr>
              <w:t>(0.032)</w:t>
            </w:r>
          </w:p>
        </w:tc>
      </w:tr>
      <w:tr w:rsidR="006037E5" w:rsidRPr="00AE58C7" w14:paraId="007EF7FE" w14:textId="77777777" w:rsidTr="00F449BB">
        <w:tc>
          <w:tcPr>
            <w:tcW w:w="2740" w:type="dxa"/>
            <w:vAlign w:val="center"/>
          </w:tcPr>
          <w:p w14:paraId="35BA7946" w14:textId="77777777" w:rsidR="006037E5" w:rsidRPr="00AE58C7" w:rsidRDefault="006037E5" w:rsidP="00F449BB">
            <w:pPr>
              <w:rPr>
                <w:b/>
                <w:bCs/>
                <w:sz w:val="16"/>
                <w:szCs w:val="16"/>
              </w:rPr>
            </w:pPr>
            <w:r w:rsidRPr="00AE58C7">
              <w:rPr>
                <w:sz w:val="16"/>
                <w:szCs w:val="16"/>
              </w:rPr>
              <w:t xml:space="preserve"> Widowed</w:t>
            </w:r>
          </w:p>
        </w:tc>
        <w:tc>
          <w:tcPr>
            <w:tcW w:w="1571" w:type="dxa"/>
            <w:vAlign w:val="center"/>
          </w:tcPr>
          <w:p w14:paraId="2C08EFCC" w14:textId="77777777" w:rsidR="00FE2C41" w:rsidRDefault="00227140" w:rsidP="00F449BB">
            <w:pPr>
              <w:jc w:val="center"/>
              <w:rPr>
                <w:sz w:val="16"/>
                <w:szCs w:val="16"/>
              </w:rPr>
            </w:pPr>
            <w:r>
              <w:rPr>
                <w:sz w:val="16"/>
                <w:szCs w:val="16"/>
              </w:rPr>
              <w:t>-0.081</w:t>
            </w:r>
          </w:p>
          <w:p w14:paraId="0A6DADED" w14:textId="3BE81271" w:rsidR="00227140" w:rsidRPr="00AE58C7" w:rsidRDefault="00227140" w:rsidP="00F449BB">
            <w:pPr>
              <w:jc w:val="center"/>
              <w:rPr>
                <w:sz w:val="16"/>
                <w:szCs w:val="16"/>
              </w:rPr>
            </w:pPr>
            <w:r>
              <w:rPr>
                <w:sz w:val="16"/>
                <w:szCs w:val="16"/>
              </w:rPr>
              <w:t>(0.061)</w:t>
            </w:r>
          </w:p>
        </w:tc>
        <w:tc>
          <w:tcPr>
            <w:tcW w:w="1572" w:type="dxa"/>
            <w:gridSpan w:val="2"/>
            <w:tcBorders>
              <w:right w:val="single" w:sz="4" w:space="0" w:color="auto"/>
            </w:tcBorders>
            <w:vAlign w:val="center"/>
          </w:tcPr>
          <w:p w14:paraId="134A9A38" w14:textId="45A1AD68" w:rsidR="006037E5" w:rsidRDefault="001E10C9" w:rsidP="00F449BB">
            <w:pPr>
              <w:jc w:val="center"/>
              <w:rPr>
                <w:sz w:val="16"/>
                <w:szCs w:val="16"/>
              </w:rPr>
            </w:pPr>
            <w:r>
              <w:rPr>
                <w:sz w:val="16"/>
                <w:szCs w:val="16"/>
              </w:rPr>
              <w:t>-0.093*</w:t>
            </w:r>
          </w:p>
          <w:p w14:paraId="5D70628D" w14:textId="347D4A8C" w:rsidR="001E10C9" w:rsidRPr="00AE58C7" w:rsidRDefault="001E10C9" w:rsidP="00F449BB">
            <w:pPr>
              <w:jc w:val="center"/>
              <w:rPr>
                <w:sz w:val="16"/>
                <w:szCs w:val="16"/>
              </w:rPr>
            </w:pPr>
            <w:r>
              <w:rPr>
                <w:sz w:val="16"/>
                <w:szCs w:val="16"/>
              </w:rPr>
              <w:t>(0.046)</w:t>
            </w:r>
          </w:p>
        </w:tc>
        <w:tc>
          <w:tcPr>
            <w:tcW w:w="1571" w:type="dxa"/>
            <w:tcBorders>
              <w:left w:val="single" w:sz="4" w:space="0" w:color="auto"/>
            </w:tcBorders>
          </w:tcPr>
          <w:p w14:paraId="66A099A7" w14:textId="77777777" w:rsidR="006037E5" w:rsidRDefault="00AC186D" w:rsidP="00F449BB">
            <w:pPr>
              <w:jc w:val="center"/>
              <w:rPr>
                <w:sz w:val="16"/>
                <w:szCs w:val="16"/>
              </w:rPr>
            </w:pPr>
            <w:r>
              <w:rPr>
                <w:sz w:val="16"/>
                <w:szCs w:val="16"/>
              </w:rPr>
              <w:t>-0.045</w:t>
            </w:r>
          </w:p>
          <w:p w14:paraId="761DAE86" w14:textId="02186CB4" w:rsidR="00AC186D" w:rsidRPr="00AE58C7" w:rsidRDefault="00AC186D" w:rsidP="00F449BB">
            <w:pPr>
              <w:jc w:val="center"/>
              <w:rPr>
                <w:sz w:val="16"/>
                <w:szCs w:val="16"/>
              </w:rPr>
            </w:pPr>
            <w:r>
              <w:rPr>
                <w:sz w:val="16"/>
                <w:szCs w:val="16"/>
              </w:rPr>
              <w:t>(0.063)</w:t>
            </w:r>
          </w:p>
        </w:tc>
        <w:tc>
          <w:tcPr>
            <w:tcW w:w="1572" w:type="dxa"/>
          </w:tcPr>
          <w:p w14:paraId="2A61B50E" w14:textId="77777777" w:rsidR="006037E5" w:rsidRDefault="00D60B6D" w:rsidP="00F449BB">
            <w:pPr>
              <w:jc w:val="center"/>
              <w:rPr>
                <w:sz w:val="16"/>
                <w:szCs w:val="16"/>
              </w:rPr>
            </w:pPr>
            <w:r>
              <w:rPr>
                <w:sz w:val="16"/>
                <w:szCs w:val="16"/>
              </w:rPr>
              <w:t>-0.027</w:t>
            </w:r>
          </w:p>
          <w:p w14:paraId="564DC4AD" w14:textId="789FEA0B" w:rsidR="00D60B6D" w:rsidRPr="00AE58C7" w:rsidRDefault="00D60B6D" w:rsidP="00F449BB">
            <w:pPr>
              <w:jc w:val="center"/>
              <w:rPr>
                <w:sz w:val="16"/>
                <w:szCs w:val="16"/>
              </w:rPr>
            </w:pPr>
            <w:r>
              <w:rPr>
                <w:sz w:val="16"/>
                <w:szCs w:val="16"/>
              </w:rPr>
              <w:t>(0.066)</w:t>
            </w:r>
          </w:p>
        </w:tc>
      </w:tr>
      <w:tr w:rsidR="006037E5" w:rsidRPr="00AE58C7" w14:paraId="05CB7B7D" w14:textId="77777777" w:rsidTr="00F449BB">
        <w:tc>
          <w:tcPr>
            <w:tcW w:w="2740" w:type="dxa"/>
            <w:vAlign w:val="center"/>
          </w:tcPr>
          <w:p w14:paraId="21FC8844" w14:textId="77777777" w:rsidR="006037E5" w:rsidRPr="00AE58C7" w:rsidRDefault="006037E5" w:rsidP="00F449BB">
            <w:pPr>
              <w:rPr>
                <w:b/>
                <w:bCs/>
                <w:sz w:val="16"/>
                <w:szCs w:val="16"/>
              </w:rPr>
            </w:pPr>
            <w:r w:rsidRPr="00AE58C7">
              <w:rPr>
                <w:sz w:val="16"/>
                <w:szCs w:val="16"/>
              </w:rPr>
              <w:t>Has children under 18</w:t>
            </w:r>
          </w:p>
        </w:tc>
        <w:tc>
          <w:tcPr>
            <w:tcW w:w="1571" w:type="dxa"/>
            <w:vAlign w:val="center"/>
          </w:tcPr>
          <w:p w14:paraId="7300A442" w14:textId="77777777" w:rsidR="00373FB2" w:rsidRDefault="00227140" w:rsidP="00F449BB">
            <w:pPr>
              <w:jc w:val="center"/>
              <w:rPr>
                <w:sz w:val="16"/>
                <w:szCs w:val="16"/>
              </w:rPr>
            </w:pPr>
            <w:r>
              <w:rPr>
                <w:sz w:val="16"/>
                <w:szCs w:val="16"/>
              </w:rPr>
              <w:t>-0.020</w:t>
            </w:r>
          </w:p>
          <w:p w14:paraId="74D6653D" w14:textId="187CAE9A" w:rsidR="00227140" w:rsidRPr="00AE58C7" w:rsidRDefault="00227140" w:rsidP="00F449BB">
            <w:pPr>
              <w:jc w:val="center"/>
              <w:rPr>
                <w:sz w:val="16"/>
                <w:szCs w:val="16"/>
              </w:rPr>
            </w:pPr>
            <w:r>
              <w:rPr>
                <w:sz w:val="16"/>
                <w:szCs w:val="16"/>
              </w:rPr>
              <w:t>(0.013</w:t>
            </w:r>
            <w:r w:rsidR="006401FB">
              <w:rPr>
                <w:sz w:val="16"/>
                <w:szCs w:val="16"/>
              </w:rPr>
              <w:t>)</w:t>
            </w:r>
          </w:p>
        </w:tc>
        <w:tc>
          <w:tcPr>
            <w:tcW w:w="1572" w:type="dxa"/>
            <w:gridSpan w:val="2"/>
            <w:tcBorders>
              <w:right w:val="single" w:sz="4" w:space="0" w:color="auto"/>
            </w:tcBorders>
            <w:vAlign w:val="center"/>
          </w:tcPr>
          <w:p w14:paraId="0F216412" w14:textId="2F5F8BAB" w:rsidR="006037E5" w:rsidRDefault="001E10C9" w:rsidP="00F449BB">
            <w:pPr>
              <w:jc w:val="center"/>
              <w:rPr>
                <w:sz w:val="16"/>
                <w:szCs w:val="16"/>
              </w:rPr>
            </w:pPr>
            <w:r>
              <w:rPr>
                <w:sz w:val="16"/>
                <w:szCs w:val="16"/>
              </w:rPr>
              <w:t>-0.</w:t>
            </w:r>
            <w:r w:rsidR="009744C3">
              <w:rPr>
                <w:sz w:val="16"/>
                <w:szCs w:val="16"/>
              </w:rPr>
              <w:t>0</w:t>
            </w:r>
            <w:r>
              <w:rPr>
                <w:sz w:val="16"/>
                <w:szCs w:val="16"/>
              </w:rPr>
              <w:t>16</w:t>
            </w:r>
          </w:p>
          <w:p w14:paraId="177BCF8A" w14:textId="3213CDAB" w:rsidR="001E10C9" w:rsidRPr="00AE58C7" w:rsidRDefault="001E10C9" w:rsidP="00F449BB">
            <w:pPr>
              <w:jc w:val="center"/>
              <w:rPr>
                <w:sz w:val="16"/>
                <w:szCs w:val="16"/>
              </w:rPr>
            </w:pPr>
            <w:r>
              <w:rPr>
                <w:sz w:val="16"/>
                <w:szCs w:val="16"/>
              </w:rPr>
              <w:t>(0.013)</w:t>
            </w:r>
          </w:p>
        </w:tc>
        <w:tc>
          <w:tcPr>
            <w:tcW w:w="1571" w:type="dxa"/>
            <w:tcBorders>
              <w:left w:val="single" w:sz="4" w:space="0" w:color="auto"/>
            </w:tcBorders>
          </w:tcPr>
          <w:p w14:paraId="280D6D98" w14:textId="44A9878F" w:rsidR="006037E5" w:rsidRPr="00EC6198" w:rsidRDefault="008868DC" w:rsidP="00F449BB">
            <w:pPr>
              <w:jc w:val="center"/>
              <w:rPr>
                <w:sz w:val="16"/>
                <w:szCs w:val="16"/>
                <w:vertAlign w:val="superscript"/>
              </w:rPr>
            </w:pPr>
            <w:r>
              <w:rPr>
                <w:sz w:val="16"/>
                <w:szCs w:val="16"/>
              </w:rPr>
              <w:t>0.032</w:t>
            </w:r>
            <w:r w:rsidR="00EC6198">
              <w:rPr>
                <w:sz w:val="16"/>
                <w:szCs w:val="16"/>
                <w:vertAlign w:val="superscript"/>
              </w:rPr>
              <w:t>+</w:t>
            </w:r>
          </w:p>
          <w:p w14:paraId="36E071BF" w14:textId="390CA4C7" w:rsidR="008868DC" w:rsidRPr="00AE58C7" w:rsidRDefault="008868DC" w:rsidP="00F449BB">
            <w:pPr>
              <w:jc w:val="center"/>
              <w:rPr>
                <w:sz w:val="16"/>
                <w:szCs w:val="16"/>
              </w:rPr>
            </w:pPr>
            <w:r>
              <w:rPr>
                <w:sz w:val="16"/>
                <w:szCs w:val="16"/>
              </w:rPr>
              <w:t>(0.017)</w:t>
            </w:r>
          </w:p>
        </w:tc>
        <w:tc>
          <w:tcPr>
            <w:tcW w:w="1572" w:type="dxa"/>
          </w:tcPr>
          <w:p w14:paraId="2BA06AE5" w14:textId="77777777" w:rsidR="006037E5" w:rsidRDefault="002751BF" w:rsidP="00F449BB">
            <w:pPr>
              <w:jc w:val="center"/>
              <w:rPr>
                <w:sz w:val="16"/>
                <w:szCs w:val="16"/>
              </w:rPr>
            </w:pPr>
            <w:r>
              <w:rPr>
                <w:sz w:val="16"/>
                <w:szCs w:val="16"/>
              </w:rPr>
              <w:t>0.026</w:t>
            </w:r>
          </w:p>
          <w:p w14:paraId="3763AC08" w14:textId="1D2054D9" w:rsidR="002751BF" w:rsidRPr="00AE58C7" w:rsidRDefault="002751BF" w:rsidP="00F449BB">
            <w:pPr>
              <w:jc w:val="center"/>
              <w:rPr>
                <w:sz w:val="16"/>
                <w:szCs w:val="16"/>
              </w:rPr>
            </w:pPr>
            <w:r>
              <w:rPr>
                <w:sz w:val="16"/>
                <w:szCs w:val="16"/>
              </w:rPr>
              <w:t>(0.016)</w:t>
            </w:r>
          </w:p>
        </w:tc>
      </w:tr>
      <w:tr w:rsidR="006037E5" w:rsidRPr="00AE58C7" w14:paraId="41B0B78F" w14:textId="77777777" w:rsidTr="00F449BB">
        <w:tc>
          <w:tcPr>
            <w:tcW w:w="2740" w:type="dxa"/>
            <w:vAlign w:val="center"/>
          </w:tcPr>
          <w:p w14:paraId="6A4D0FF2" w14:textId="77777777" w:rsidR="006037E5" w:rsidRPr="00AE58C7" w:rsidRDefault="006037E5" w:rsidP="00F449BB">
            <w:pPr>
              <w:rPr>
                <w:b/>
                <w:bCs/>
                <w:sz w:val="16"/>
                <w:szCs w:val="16"/>
              </w:rPr>
            </w:pPr>
            <w:r w:rsidRPr="00AE58C7">
              <w:rPr>
                <w:i/>
                <w:iCs/>
                <w:sz w:val="16"/>
                <w:szCs w:val="16"/>
              </w:rPr>
              <w:t>Employment status (Ref: working)</w:t>
            </w:r>
          </w:p>
        </w:tc>
        <w:tc>
          <w:tcPr>
            <w:tcW w:w="1571" w:type="dxa"/>
            <w:vAlign w:val="center"/>
          </w:tcPr>
          <w:p w14:paraId="2969B731" w14:textId="77777777" w:rsidR="006037E5" w:rsidRPr="00AE58C7" w:rsidRDefault="006037E5" w:rsidP="00F449BB">
            <w:pPr>
              <w:jc w:val="center"/>
              <w:rPr>
                <w:sz w:val="16"/>
                <w:szCs w:val="16"/>
              </w:rPr>
            </w:pPr>
          </w:p>
        </w:tc>
        <w:tc>
          <w:tcPr>
            <w:tcW w:w="1572" w:type="dxa"/>
            <w:gridSpan w:val="2"/>
            <w:tcBorders>
              <w:right w:val="single" w:sz="4" w:space="0" w:color="auto"/>
            </w:tcBorders>
            <w:vAlign w:val="center"/>
          </w:tcPr>
          <w:p w14:paraId="57A5AB71" w14:textId="77777777" w:rsidR="006037E5" w:rsidRPr="00AE58C7" w:rsidRDefault="006037E5" w:rsidP="00F449BB">
            <w:pPr>
              <w:jc w:val="center"/>
              <w:rPr>
                <w:sz w:val="16"/>
                <w:szCs w:val="16"/>
              </w:rPr>
            </w:pPr>
          </w:p>
        </w:tc>
        <w:tc>
          <w:tcPr>
            <w:tcW w:w="1571" w:type="dxa"/>
            <w:tcBorders>
              <w:left w:val="single" w:sz="4" w:space="0" w:color="auto"/>
            </w:tcBorders>
          </w:tcPr>
          <w:p w14:paraId="09AEE353" w14:textId="77777777" w:rsidR="006037E5" w:rsidRPr="00AE58C7" w:rsidRDefault="006037E5" w:rsidP="00F449BB">
            <w:pPr>
              <w:jc w:val="center"/>
              <w:rPr>
                <w:sz w:val="16"/>
                <w:szCs w:val="16"/>
              </w:rPr>
            </w:pPr>
          </w:p>
        </w:tc>
        <w:tc>
          <w:tcPr>
            <w:tcW w:w="1572" w:type="dxa"/>
          </w:tcPr>
          <w:p w14:paraId="15538F64" w14:textId="77777777" w:rsidR="006037E5" w:rsidRPr="00AE58C7" w:rsidRDefault="006037E5" w:rsidP="00F449BB">
            <w:pPr>
              <w:jc w:val="center"/>
              <w:rPr>
                <w:sz w:val="16"/>
                <w:szCs w:val="16"/>
              </w:rPr>
            </w:pPr>
          </w:p>
        </w:tc>
      </w:tr>
      <w:tr w:rsidR="006037E5" w:rsidRPr="00AE58C7" w14:paraId="4F7EEA08" w14:textId="77777777" w:rsidTr="00F449BB">
        <w:tc>
          <w:tcPr>
            <w:tcW w:w="2740" w:type="dxa"/>
            <w:vAlign w:val="center"/>
          </w:tcPr>
          <w:p w14:paraId="337EC6B0" w14:textId="77777777" w:rsidR="006037E5" w:rsidRPr="00AE58C7" w:rsidRDefault="006037E5" w:rsidP="00F449BB">
            <w:pPr>
              <w:rPr>
                <w:b/>
                <w:bCs/>
                <w:sz w:val="16"/>
                <w:szCs w:val="16"/>
              </w:rPr>
            </w:pPr>
            <w:r w:rsidRPr="00AE58C7">
              <w:rPr>
                <w:sz w:val="16"/>
                <w:szCs w:val="16"/>
              </w:rPr>
              <w:t xml:space="preserve"> Unemployed</w:t>
            </w:r>
          </w:p>
        </w:tc>
        <w:tc>
          <w:tcPr>
            <w:tcW w:w="1571" w:type="dxa"/>
            <w:vAlign w:val="center"/>
          </w:tcPr>
          <w:p w14:paraId="59822A33" w14:textId="77777777" w:rsidR="00EC6198" w:rsidRDefault="00EC6198" w:rsidP="00EC6198">
            <w:pPr>
              <w:jc w:val="center"/>
              <w:rPr>
                <w:sz w:val="16"/>
                <w:szCs w:val="16"/>
              </w:rPr>
            </w:pPr>
            <w:r>
              <w:rPr>
                <w:sz w:val="16"/>
                <w:szCs w:val="16"/>
              </w:rPr>
              <w:t>0.067**</w:t>
            </w:r>
          </w:p>
          <w:p w14:paraId="072E21CB" w14:textId="63ED713B" w:rsidR="00373FB2" w:rsidRPr="00AE58C7" w:rsidRDefault="00EC6198" w:rsidP="00EC6198">
            <w:pPr>
              <w:jc w:val="center"/>
              <w:rPr>
                <w:sz w:val="16"/>
                <w:szCs w:val="16"/>
              </w:rPr>
            </w:pPr>
            <w:r>
              <w:rPr>
                <w:sz w:val="16"/>
                <w:szCs w:val="16"/>
              </w:rPr>
              <w:t>(0.020)</w:t>
            </w:r>
          </w:p>
        </w:tc>
        <w:tc>
          <w:tcPr>
            <w:tcW w:w="1572" w:type="dxa"/>
            <w:gridSpan w:val="2"/>
            <w:tcBorders>
              <w:right w:val="single" w:sz="4" w:space="0" w:color="auto"/>
            </w:tcBorders>
            <w:vAlign w:val="center"/>
          </w:tcPr>
          <w:p w14:paraId="3DB1640E" w14:textId="177F9E62" w:rsidR="006037E5" w:rsidRDefault="009744C3" w:rsidP="00F449BB">
            <w:pPr>
              <w:jc w:val="center"/>
              <w:rPr>
                <w:sz w:val="16"/>
                <w:szCs w:val="16"/>
              </w:rPr>
            </w:pPr>
            <w:r>
              <w:rPr>
                <w:sz w:val="16"/>
                <w:szCs w:val="16"/>
              </w:rPr>
              <w:t>0.060**</w:t>
            </w:r>
          </w:p>
          <w:p w14:paraId="321C5ACD" w14:textId="30E8A66C" w:rsidR="009744C3" w:rsidRPr="00AE58C7" w:rsidRDefault="009744C3" w:rsidP="00F449BB">
            <w:pPr>
              <w:jc w:val="center"/>
              <w:rPr>
                <w:sz w:val="16"/>
                <w:szCs w:val="16"/>
              </w:rPr>
            </w:pPr>
            <w:r>
              <w:rPr>
                <w:sz w:val="16"/>
                <w:szCs w:val="16"/>
              </w:rPr>
              <w:t>(0.019)</w:t>
            </w:r>
          </w:p>
        </w:tc>
        <w:tc>
          <w:tcPr>
            <w:tcW w:w="1571" w:type="dxa"/>
            <w:tcBorders>
              <w:left w:val="single" w:sz="4" w:space="0" w:color="auto"/>
            </w:tcBorders>
          </w:tcPr>
          <w:p w14:paraId="7657AE3B" w14:textId="373512A5" w:rsidR="006037E5" w:rsidRDefault="00EC6198" w:rsidP="00F449BB">
            <w:pPr>
              <w:jc w:val="center"/>
              <w:rPr>
                <w:sz w:val="16"/>
                <w:szCs w:val="16"/>
              </w:rPr>
            </w:pPr>
            <w:r>
              <w:rPr>
                <w:sz w:val="16"/>
                <w:szCs w:val="16"/>
              </w:rPr>
              <w:t>-0.048*</w:t>
            </w:r>
          </w:p>
          <w:p w14:paraId="5CA13601" w14:textId="7D6F7053" w:rsidR="00EC6198" w:rsidRPr="00AE58C7" w:rsidRDefault="00EC6198" w:rsidP="00F449BB">
            <w:pPr>
              <w:jc w:val="center"/>
              <w:rPr>
                <w:sz w:val="16"/>
                <w:szCs w:val="16"/>
              </w:rPr>
            </w:pPr>
            <w:r>
              <w:rPr>
                <w:sz w:val="16"/>
                <w:szCs w:val="16"/>
              </w:rPr>
              <w:t>(0.022)</w:t>
            </w:r>
          </w:p>
        </w:tc>
        <w:tc>
          <w:tcPr>
            <w:tcW w:w="1572" w:type="dxa"/>
          </w:tcPr>
          <w:p w14:paraId="30C44300" w14:textId="32C327A0" w:rsidR="006037E5" w:rsidRPr="00285F13" w:rsidRDefault="002751BF" w:rsidP="00F449BB">
            <w:pPr>
              <w:jc w:val="center"/>
              <w:rPr>
                <w:sz w:val="16"/>
                <w:szCs w:val="16"/>
                <w:vertAlign w:val="superscript"/>
              </w:rPr>
            </w:pPr>
            <w:r>
              <w:rPr>
                <w:sz w:val="16"/>
                <w:szCs w:val="16"/>
              </w:rPr>
              <w:t>-0.040</w:t>
            </w:r>
            <w:r w:rsidR="00285F13">
              <w:rPr>
                <w:sz w:val="16"/>
                <w:szCs w:val="16"/>
                <w:vertAlign w:val="superscript"/>
              </w:rPr>
              <w:t>+</w:t>
            </w:r>
          </w:p>
          <w:p w14:paraId="663662F3" w14:textId="71FC9BDE" w:rsidR="002751BF" w:rsidRPr="00AE58C7" w:rsidRDefault="002751BF" w:rsidP="00F449BB">
            <w:pPr>
              <w:jc w:val="center"/>
              <w:rPr>
                <w:sz w:val="16"/>
                <w:szCs w:val="16"/>
              </w:rPr>
            </w:pPr>
            <w:r>
              <w:rPr>
                <w:sz w:val="16"/>
                <w:szCs w:val="16"/>
              </w:rPr>
              <w:t>(0.022)</w:t>
            </w:r>
          </w:p>
        </w:tc>
      </w:tr>
      <w:tr w:rsidR="006037E5" w:rsidRPr="00AE58C7" w14:paraId="113732BC" w14:textId="77777777" w:rsidTr="00F449BB">
        <w:tc>
          <w:tcPr>
            <w:tcW w:w="2740" w:type="dxa"/>
            <w:vAlign w:val="center"/>
          </w:tcPr>
          <w:p w14:paraId="52E50202" w14:textId="77777777" w:rsidR="006037E5" w:rsidRPr="00AE58C7" w:rsidRDefault="006037E5" w:rsidP="00F449BB">
            <w:pPr>
              <w:rPr>
                <w:b/>
                <w:bCs/>
                <w:sz w:val="16"/>
                <w:szCs w:val="16"/>
              </w:rPr>
            </w:pPr>
            <w:r w:rsidRPr="00AE58C7">
              <w:rPr>
                <w:sz w:val="16"/>
                <w:szCs w:val="16"/>
              </w:rPr>
              <w:t xml:space="preserve"> Student</w:t>
            </w:r>
          </w:p>
        </w:tc>
        <w:tc>
          <w:tcPr>
            <w:tcW w:w="1571" w:type="dxa"/>
            <w:vAlign w:val="center"/>
          </w:tcPr>
          <w:p w14:paraId="084ED26E" w14:textId="520D2CD5" w:rsidR="006037E5" w:rsidRPr="00AE58C7" w:rsidRDefault="00616068" w:rsidP="00F449BB">
            <w:pPr>
              <w:jc w:val="center"/>
              <w:rPr>
                <w:sz w:val="16"/>
                <w:szCs w:val="16"/>
              </w:rPr>
            </w:pPr>
            <w:r>
              <w:rPr>
                <w:sz w:val="16"/>
                <w:szCs w:val="16"/>
              </w:rPr>
              <w:t>/</w:t>
            </w:r>
          </w:p>
        </w:tc>
        <w:tc>
          <w:tcPr>
            <w:tcW w:w="1572" w:type="dxa"/>
            <w:gridSpan w:val="2"/>
            <w:tcBorders>
              <w:right w:val="single" w:sz="4" w:space="0" w:color="auto"/>
            </w:tcBorders>
            <w:vAlign w:val="center"/>
          </w:tcPr>
          <w:p w14:paraId="2ED52CE7" w14:textId="5E7DB7C7" w:rsidR="006037E5" w:rsidRPr="00AE58C7" w:rsidRDefault="00616068" w:rsidP="00F449BB">
            <w:pPr>
              <w:jc w:val="center"/>
              <w:rPr>
                <w:sz w:val="16"/>
                <w:szCs w:val="16"/>
              </w:rPr>
            </w:pPr>
            <w:r>
              <w:rPr>
                <w:sz w:val="16"/>
                <w:szCs w:val="16"/>
              </w:rPr>
              <w:t>/</w:t>
            </w:r>
          </w:p>
        </w:tc>
        <w:tc>
          <w:tcPr>
            <w:tcW w:w="1571" w:type="dxa"/>
            <w:tcBorders>
              <w:left w:val="single" w:sz="4" w:space="0" w:color="auto"/>
            </w:tcBorders>
          </w:tcPr>
          <w:p w14:paraId="01A00EA5" w14:textId="18002350" w:rsidR="006037E5" w:rsidRPr="00AE58C7" w:rsidRDefault="00616068" w:rsidP="00F449BB">
            <w:pPr>
              <w:jc w:val="center"/>
              <w:rPr>
                <w:sz w:val="16"/>
                <w:szCs w:val="16"/>
              </w:rPr>
            </w:pPr>
            <w:r>
              <w:rPr>
                <w:sz w:val="16"/>
                <w:szCs w:val="16"/>
              </w:rPr>
              <w:t>/</w:t>
            </w:r>
          </w:p>
        </w:tc>
        <w:tc>
          <w:tcPr>
            <w:tcW w:w="1572" w:type="dxa"/>
          </w:tcPr>
          <w:p w14:paraId="684098EA" w14:textId="58577B9E" w:rsidR="006037E5" w:rsidRPr="00AE58C7" w:rsidRDefault="00616068" w:rsidP="00F449BB">
            <w:pPr>
              <w:jc w:val="center"/>
              <w:rPr>
                <w:sz w:val="16"/>
                <w:szCs w:val="16"/>
              </w:rPr>
            </w:pPr>
            <w:r>
              <w:rPr>
                <w:sz w:val="16"/>
                <w:szCs w:val="16"/>
              </w:rPr>
              <w:t>/</w:t>
            </w:r>
          </w:p>
        </w:tc>
      </w:tr>
      <w:tr w:rsidR="006037E5" w:rsidRPr="00AE58C7" w14:paraId="15F3F4E2" w14:textId="77777777" w:rsidTr="00F449BB">
        <w:tc>
          <w:tcPr>
            <w:tcW w:w="2740" w:type="dxa"/>
            <w:vAlign w:val="center"/>
          </w:tcPr>
          <w:p w14:paraId="0DA21517" w14:textId="77777777" w:rsidR="006037E5" w:rsidRPr="00AE58C7" w:rsidRDefault="006037E5" w:rsidP="00F449BB">
            <w:pPr>
              <w:rPr>
                <w:b/>
                <w:bCs/>
                <w:sz w:val="16"/>
                <w:szCs w:val="16"/>
              </w:rPr>
            </w:pPr>
            <w:r w:rsidRPr="00AE58C7">
              <w:rPr>
                <w:sz w:val="16"/>
                <w:szCs w:val="16"/>
              </w:rPr>
              <w:t xml:space="preserve"> Retired</w:t>
            </w:r>
          </w:p>
        </w:tc>
        <w:tc>
          <w:tcPr>
            <w:tcW w:w="1571" w:type="dxa"/>
            <w:vAlign w:val="center"/>
          </w:tcPr>
          <w:p w14:paraId="31703B19" w14:textId="32E75489" w:rsidR="00373FB2" w:rsidRPr="006401FB" w:rsidRDefault="006401FB" w:rsidP="00F449BB">
            <w:pPr>
              <w:jc w:val="center"/>
              <w:rPr>
                <w:sz w:val="16"/>
                <w:szCs w:val="16"/>
                <w:vertAlign w:val="superscript"/>
              </w:rPr>
            </w:pPr>
            <w:r>
              <w:rPr>
                <w:sz w:val="16"/>
                <w:szCs w:val="16"/>
              </w:rPr>
              <w:t>0.037</w:t>
            </w:r>
            <w:r>
              <w:rPr>
                <w:sz w:val="16"/>
                <w:szCs w:val="16"/>
                <w:vertAlign w:val="superscript"/>
              </w:rPr>
              <w:t>+</w:t>
            </w:r>
          </w:p>
          <w:p w14:paraId="5F87DCD3" w14:textId="184FCD86" w:rsidR="006401FB" w:rsidRPr="00AE58C7" w:rsidRDefault="006401FB" w:rsidP="00F449BB">
            <w:pPr>
              <w:jc w:val="center"/>
              <w:rPr>
                <w:sz w:val="16"/>
                <w:szCs w:val="16"/>
              </w:rPr>
            </w:pPr>
            <w:r>
              <w:rPr>
                <w:sz w:val="16"/>
                <w:szCs w:val="16"/>
              </w:rPr>
              <w:t>(0.022)</w:t>
            </w:r>
          </w:p>
        </w:tc>
        <w:tc>
          <w:tcPr>
            <w:tcW w:w="1572" w:type="dxa"/>
            <w:gridSpan w:val="2"/>
            <w:tcBorders>
              <w:right w:val="single" w:sz="4" w:space="0" w:color="auto"/>
            </w:tcBorders>
            <w:vAlign w:val="center"/>
          </w:tcPr>
          <w:p w14:paraId="32F5A0D2" w14:textId="77777777" w:rsidR="006037E5" w:rsidRDefault="009744C3" w:rsidP="00F449BB">
            <w:pPr>
              <w:jc w:val="center"/>
              <w:rPr>
                <w:sz w:val="16"/>
                <w:szCs w:val="16"/>
              </w:rPr>
            </w:pPr>
            <w:r>
              <w:rPr>
                <w:sz w:val="16"/>
                <w:szCs w:val="16"/>
              </w:rPr>
              <w:t>0.029</w:t>
            </w:r>
          </w:p>
          <w:p w14:paraId="082BFC11" w14:textId="51637D29" w:rsidR="00333B18" w:rsidRPr="00AE58C7" w:rsidRDefault="00333B18" w:rsidP="00F449BB">
            <w:pPr>
              <w:jc w:val="center"/>
              <w:rPr>
                <w:sz w:val="16"/>
                <w:szCs w:val="16"/>
              </w:rPr>
            </w:pPr>
            <w:r>
              <w:rPr>
                <w:sz w:val="16"/>
                <w:szCs w:val="16"/>
              </w:rPr>
              <w:t>(0.021)</w:t>
            </w:r>
          </w:p>
        </w:tc>
        <w:tc>
          <w:tcPr>
            <w:tcW w:w="1571" w:type="dxa"/>
            <w:tcBorders>
              <w:left w:val="single" w:sz="4" w:space="0" w:color="auto"/>
            </w:tcBorders>
          </w:tcPr>
          <w:p w14:paraId="5DE8C839" w14:textId="1653C9FD" w:rsidR="006037E5" w:rsidRDefault="00EC6198" w:rsidP="00F449BB">
            <w:pPr>
              <w:jc w:val="center"/>
              <w:rPr>
                <w:sz w:val="16"/>
                <w:szCs w:val="16"/>
              </w:rPr>
            </w:pPr>
            <w:r>
              <w:rPr>
                <w:sz w:val="16"/>
                <w:szCs w:val="16"/>
              </w:rPr>
              <w:t>-0.056*</w:t>
            </w:r>
          </w:p>
          <w:p w14:paraId="1DB7F3A6" w14:textId="040386B7" w:rsidR="00EC6198" w:rsidRPr="00AE58C7" w:rsidRDefault="00EC6198" w:rsidP="00F449BB">
            <w:pPr>
              <w:jc w:val="center"/>
              <w:rPr>
                <w:sz w:val="16"/>
                <w:szCs w:val="16"/>
              </w:rPr>
            </w:pPr>
            <w:r>
              <w:rPr>
                <w:sz w:val="16"/>
                <w:szCs w:val="16"/>
              </w:rPr>
              <w:t>(0.026)</w:t>
            </w:r>
          </w:p>
        </w:tc>
        <w:tc>
          <w:tcPr>
            <w:tcW w:w="1572" w:type="dxa"/>
          </w:tcPr>
          <w:p w14:paraId="0C24F26B" w14:textId="63A574C0" w:rsidR="006037E5" w:rsidRPr="00285F13" w:rsidRDefault="00285F13" w:rsidP="00F449BB">
            <w:pPr>
              <w:jc w:val="center"/>
              <w:rPr>
                <w:sz w:val="16"/>
                <w:szCs w:val="16"/>
                <w:vertAlign w:val="superscript"/>
              </w:rPr>
            </w:pPr>
            <w:r>
              <w:rPr>
                <w:sz w:val="16"/>
                <w:szCs w:val="16"/>
              </w:rPr>
              <w:t>-0.049</w:t>
            </w:r>
            <w:r>
              <w:rPr>
                <w:sz w:val="16"/>
                <w:szCs w:val="16"/>
                <w:vertAlign w:val="superscript"/>
              </w:rPr>
              <w:t>+</w:t>
            </w:r>
          </w:p>
          <w:p w14:paraId="7E6C25D2" w14:textId="5AEA254A" w:rsidR="00285F13" w:rsidRPr="00AE58C7" w:rsidRDefault="00285F13" w:rsidP="00F449BB">
            <w:pPr>
              <w:jc w:val="center"/>
              <w:rPr>
                <w:sz w:val="16"/>
                <w:szCs w:val="16"/>
              </w:rPr>
            </w:pPr>
            <w:r>
              <w:rPr>
                <w:sz w:val="16"/>
                <w:szCs w:val="16"/>
              </w:rPr>
              <w:t>(0.026)</w:t>
            </w:r>
          </w:p>
        </w:tc>
      </w:tr>
      <w:tr w:rsidR="006037E5" w:rsidRPr="00AE58C7" w14:paraId="03794EEE" w14:textId="77777777" w:rsidTr="00F449BB">
        <w:tc>
          <w:tcPr>
            <w:tcW w:w="2740" w:type="dxa"/>
            <w:vAlign w:val="center"/>
          </w:tcPr>
          <w:p w14:paraId="4B0644DD" w14:textId="77777777" w:rsidR="006037E5" w:rsidRPr="00AE58C7" w:rsidRDefault="006037E5" w:rsidP="00F449BB">
            <w:pPr>
              <w:rPr>
                <w:b/>
                <w:bCs/>
                <w:sz w:val="16"/>
                <w:szCs w:val="16"/>
              </w:rPr>
            </w:pPr>
            <w:r w:rsidRPr="00AE58C7">
              <w:rPr>
                <w:sz w:val="16"/>
                <w:szCs w:val="16"/>
              </w:rPr>
              <w:t xml:space="preserve"> Looking after the home/other</w:t>
            </w:r>
          </w:p>
        </w:tc>
        <w:tc>
          <w:tcPr>
            <w:tcW w:w="1571" w:type="dxa"/>
            <w:vAlign w:val="center"/>
          </w:tcPr>
          <w:p w14:paraId="335E06BD" w14:textId="77777777" w:rsidR="00351CB0" w:rsidRDefault="003F78C9" w:rsidP="00F449BB">
            <w:pPr>
              <w:jc w:val="center"/>
              <w:rPr>
                <w:sz w:val="16"/>
                <w:szCs w:val="16"/>
              </w:rPr>
            </w:pPr>
            <w:r>
              <w:rPr>
                <w:sz w:val="16"/>
                <w:szCs w:val="16"/>
              </w:rPr>
              <w:t>0.019</w:t>
            </w:r>
          </w:p>
          <w:p w14:paraId="10CB43C7" w14:textId="6C318F54" w:rsidR="003F78C9" w:rsidRPr="00AE58C7" w:rsidRDefault="003F78C9" w:rsidP="00F449BB">
            <w:pPr>
              <w:jc w:val="center"/>
              <w:rPr>
                <w:sz w:val="16"/>
                <w:szCs w:val="16"/>
              </w:rPr>
            </w:pPr>
            <w:r>
              <w:rPr>
                <w:sz w:val="16"/>
                <w:szCs w:val="16"/>
              </w:rPr>
              <w:t>(0.014)</w:t>
            </w:r>
          </w:p>
        </w:tc>
        <w:tc>
          <w:tcPr>
            <w:tcW w:w="1572" w:type="dxa"/>
            <w:gridSpan w:val="2"/>
            <w:tcBorders>
              <w:right w:val="single" w:sz="4" w:space="0" w:color="auto"/>
            </w:tcBorders>
            <w:vAlign w:val="center"/>
          </w:tcPr>
          <w:p w14:paraId="6CAB20FB" w14:textId="0CCF3EBD" w:rsidR="006037E5" w:rsidRPr="00333B18" w:rsidRDefault="00333B18" w:rsidP="00F449BB">
            <w:pPr>
              <w:jc w:val="center"/>
              <w:rPr>
                <w:sz w:val="16"/>
                <w:szCs w:val="16"/>
                <w:vertAlign w:val="superscript"/>
              </w:rPr>
            </w:pPr>
            <w:r>
              <w:rPr>
                <w:sz w:val="16"/>
                <w:szCs w:val="16"/>
              </w:rPr>
              <w:t>0.024</w:t>
            </w:r>
            <w:r>
              <w:rPr>
                <w:sz w:val="16"/>
                <w:szCs w:val="16"/>
                <w:vertAlign w:val="superscript"/>
              </w:rPr>
              <w:t>+</w:t>
            </w:r>
          </w:p>
          <w:p w14:paraId="04A037CE" w14:textId="2B80F1F6" w:rsidR="00333B18" w:rsidRPr="00AE58C7" w:rsidRDefault="00333B18" w:rsidP="00F449BB">
            <w:pPr>
              <w:jc w:val="center"/>
              <w:rPr>
                <w:sz w:val="16"/>
                <w:szCs w:val="16"/>
              </w:rPr>
            </w:pPr>
            <w:r>
              <w:rPr>
                <w:sz w:val="16"/>
                <w:szCs w:val="16"/>
              </w:rPr>
              <w:t>(0.014)</w:t>
            </w:r>
          </w:p>
        </w:tc>
        <w:tc>
          <w:tcPr>
            <w:tcW w:w="1571" w:type="dxa"/>
            <w:tcBorders>
              <w:left w:val="single" w:sz="4" w:space="0" w:color="auto"/>
            </w:tcBorders>
          </w:tcPr>
          <w:p w14:paraId="6058E5FF" w14:textId="0241E53E" w:rsidR="006037E5" w:rsidRDefault="00EC6198" w:rsidP="00F449BB">
            <w:pPr>
              <w:jc w:val="center"/>
              <w:rPr>
                <w:sz w:val="16"/>
                <w:szCs w:val="16"/>
              </w:rPr>
            </w:pPr>
            <w:r>
              <w:rPr>
                <w:sz w:val="16"/>
                <w:szCs w:val="16"/>
              </w:rPr>
              <w:t>-0.051**</w:t>
            </w:r>
          </w:p>
          <w:p w14:paraId="6563A335" w14:textId="5C95CE08" w:rsidR="00EC6198" w:rsidRPr="00AE58C7" w:rsidRDefault="00EC6198" w:rsidP="00F449BB">
            <w:pPr>
              <w:jc w:val="center"/>
              <w:rPr>
                <w:sz w:val="16"/>
                <w:szCs w:val="16"/>
              </w:rPr>
            </w:pPr>
            <w:r>
              <w:rPr>
                <w:sz w:val="16"/>
                <w:szCs w:val="16"/>
              </w:rPr>
              <w:t>(0.019)</w:t>
            </w:r>
          </w:p>
        </w:tc>
        <w:tc>
          <w:tcPr>
            <w:tcW w:w="1572" w:type="dxa"/>
          </w:tcPr>
          <w:p w14:paraId="334AA2A0" w14:textId="77777777" w:rsidR="006037E5" w:rsidRDefault="00285F13" w:rsidP="00F449BB">
            <w:pPr>
              <w:jc w:val="center"/>
              <w:rPr>
                <w:sz w:val="16"/>
                <w:szCs w:val="16"/>
              </w:rPr>
            </w:pPr>
            <w:r>
              <w:rPr>
                <w:sz w:val="16"/>
                <w:szCs w:val="16"/>
              </w:rPr>
              <w:t>-0.054</w:t>
            </w:r>
          </w:p>
          <w:p w14:paraId="50A27542" w14:textId="77F390E9" w:rsidR="00285F13" w:rsidRPr="00AE58C7" w:rsidRDefault="00285F13" w:rsidP="00F449BB">
            <w:pPr>
              <w:jc w:val="center"/>
              <w:rPr>
                <w:sz w:val="16"/>
                <w:szCs w:val="16"/>
              </w:rPr>
            </w:pPr>
            <w:r>
              <w:rPr>
                <w:sz w:val="16"/>
                <w:szCs w:val="16"/>
              </w:rPr>
              <w:t>(0.019)</w:t>
            </w:r>
          </w:p>
        </w:tc>
      </w:tr>
      <w:tr w:rsidR="006037E5" w:rsidRPr="00AE58C7" w14:paraId="12BC1B9C" w14:textId="77777777" w:rsidTr="00F449BB">
        <w:tc>
          <w:tcPr>
            <w:tcW w:w="2740" w:type="dxa"/>
            <w:vAlign w:val="center"/>
          </w:tcPr>
          <w:p w14:paraId="5FD5ADCA" w14:textId="77777777" w:rsidR="006037E5" w:rsidRPr="00AE58C7" w:rsidRDefault="006037E5" w:rsidP="00F449BB">
            <w:pPr>
              <w:rPr>
                <w:b/>
                <w:bCs/>
                <w:sz w:val="16"/>
                <w:szCs w:val="16"/>
              </w:rPr>
            </w:pPr>
            <w:r w:rsidRPr="00AE58C7">
              <w:rPr>
                <w:i/>
                <w:iCs/>
                <w:sz w:val="16"/>
                <w:szCs w:val="16"/>
              </w:rPr>
              <w:t>Region (Ref: Dublin)</w:t>
            </w:r>
          </w:p>
        </w:tc>
        <w:tc>
          <w:tcPr>
            <w:tcW w:w="1571" w:type="dxa"/>
            <w:vAlign w:val="center"/>
          </w:tcPr>
          <w:p w14:paraId="23791A77" w14:textId="29443BEC" w:rsidR="00740E82" w:rsidRPr="00AE58C7" w:rsidRDefault="00740E82" w:rsidP="00F449BB">
            <w:pPr>
              <w:jc w:val="center"/>
              <w:rPr>
                <w:sz w:val="16"/>
                <w:szCs w:val="16"/>
              </w:rPr>
            </w:pPr>
          </w:p>
        </w:tc>
        <w:tc>
          <w:tcPr>
            <w:tcW w:w="1572" w:type="dxa"/>
            <w:gridSpan w:val="2"/>
            <w:tcBorders>
              <w:right w:val="single" w:sz="4" w:space="0" w:color="auto"/>
            </w:tcBorders>
            <w:vAlign w:val="center"/>
          </w:tcPr>
          <w:p w14:paraId="77F91946" w14:textId="77777777" w:rsidR="006037E5" w:rsidRPr="00AE58C7" w:rsidRDefault="006037E5" w:rsidP="00F449BB">
            <w:pPr>
              <w:jc w:val="center"/>
              <w:rPr>
                <w:sz w:val="16"/>
                <w:szCs w:val="16"/>
              </w:rPr>
            </w:pPr>
          </w:p>
        </w:tc>
        <w:tc>
          <w:tcPr>
            <w:tcW w:w="1571" w:type="dxa"/>
            <w:tcBorders>
              <w:left w:val="single" w:sz="4" w:space="0" w:color="auto"/>
            </w:tcBorders>
          </w:tcPr>
          <w:p w14:paraId="2A4B8EAA" w14:textId="77777777" w:rsidR="006037E5" w:rsidRPr="00AE58C7" w:rsidRDefault="006037E5" w:rsidP="00F449BB">
            <w:pPr>
              <w:jc w:val="center"/>
              <w:rPr>
                <w:sz w:val="16"/>
                <w:szCs w:val="16"/>
              </w:rPr>
            </w:pPr>
          </w:p>
        </w:tc>
        <w:tc>
          <w:tcPr>
            <w:tcW w:w="1572" w:type="dxa"/>
          </w:tcPr>
          <w:p w14:paraId="2FACC987" w14:textId="77777777" w:rsidR="006037E5" w:rsidRPr="00AE58C7" w:rsidRDefault="006037E5" w:rsidP="00F449BB">
            <w:pPr>
              <w:jc w:val="center"/>
              <w:rPr>
                <w:sz w:val="16"/>
                <w:szCs w:val="16"/>
              </w:rPr>
            </w:pPr>
          </w:p>
        </w:tc>
      </w:tr>
      <w:tr w:rsidR="00740E82" w:rsidRPr="00AE58C7" w14:paraId="786ED7B6" w14:textId="77777777" w:rsidTr="00F449BB">
        <w:tc>
          <w:tcPr>
            <w:tcW w:w="2740" w:type="dxa"/>
            <w:vAlign w:val="center"/>
          </w:tcPr>
          <w:p w14:paraId="557BE1CC" w14:textId="77777777" w:rsidR="00740E82" w:rsidRPr="00AE58C7" w:rsidRDefault="00740E82" w:rsidP="00740E82">
            <w:pPr>
              <w:rPr>
                <w:b/>
                <w:bCs/>
                <w:sz w:val="16"/>
                <w:szCs w:val="16"/>
              </w:rPr>
            </w:pPr>
            <w:r w:rsidRPr="00AE58C7">
              <w:rPr>
                <w:sz w:val="16"/>
                <w:szCs w:val="16"/>
              </w:rPr>
              <w:t xml:space="preserve"> Rest of Leinster</w:t>
            </w:r>
          </w:p>
        </w:tc>
        <w:tc>
          <w:tcPr>
            <w:tcW w:w="1571" w:type="dxa"/>
            <w:vAlign w:val="center"/>
          </w:tcPr>
          <w:p w14:paraId="2849BA92" w14:textId="77777777" w:rsidR="00740E82" w:rsidRDefault="00740E82" w:rsidP="00740E82">
            <w:pPr>
              <w:jc w:val="center"/>
              <w:rPr>
                <w:sz w:val="16"/>
                <w:szCs w:val="16"/>
              </w:rPr>
            </w:pPr>
            <w:r>
              <w:rPr>
                <w:sz w:val="16"/>
                <w:szCs w:val="16"/>
              </w:rPr>
              <w:t>-0.051***</w:t>
            </w:r>
          </w:p>
          <w:p w14:paraId="613381AD" w14:textId="2F872ED5" w:rsidR="00740E82" w:rsidRPr="00AE58C7" w:rsidRDefault="00740E82" w:rsidP="00740E82">
            <w:pPr>
              <w:jc w:val="center"/>
              <w:rPr>
                <w:sz w:val="16"/>
                <w:szCs w:val="16"/>
              </w:rPr>
            </w:pPr>
            <w:r>
              <w:rPr>
                <w:sz w:val="16"/>
                <w:szCs w:val="16"/>
              </w:rPr>
              <w:t>(0.014)</w:t>
            </w:r>
          </w:p>
        </w:tc>
        <w:tc>
          <w:tcPr>
            <w:tcW w:w="1572" w:type="dxa"/>
            <w:gridSpan w:val="2"/>
            <w:tcBorders>
              <w:right w:val="single" w:sz="4" w:space="0" w:color="auto"/>
            </w:tcBorders>
            <w:vAlign w:val="center"/>
          </w:tcPr>
          <w:p w14:paraId="0CE0DA85" w14:textId="700CA4AD" w:rsidR="00740E82" w:rsidRDefault="00740E82" w:rsidP="00740E82">
            <w:pPr>
              <w:jc w:val="center"/>
              <w:rPr>
                <w:sz w:val="16"/>
                <w:szCs w:val="16"/>
              </w:rPr>
            </w:pPr>
            <w:r>
              <w:rPr>
                <w:sz w:val="16"/>
                <w:szCs w:val="16"/>
              </w:rPr>
              <w:t>-0.046**</w:t>
            </w:r>
          </w:p>
          <w:p w14:paraId="534DE614" w14:textId="230F16B3" w:rsidR="00740E82" w:rsidRPr="00AE58C7" w:rsidRDefault="00740E82" w:rsidP="00740E82">
            <w:pPr>
              <w:jc w:val="center"/>
              <w:rPr>
                <w:sz w:val="16"/>
                <w:szCs w:val="16"/>
              </w:rPr>
            </w:pPr>
            <w:r>
              <w:rPr>
                <w:sz w:val="16"/>
                <w:szCs w:val="16"/>
              </w:rPr>
              <w:t>(0.014)</w:t>
            </w:r>
          </w:p>
        </w:tc>
        <w:tc>
          <w:tcPr>
            <w:tcW w:w="1571" w:type="dxa"/>
            <w:tcBorders>
              <w:left w:val="single" w:sz="4" w:space="0" w:color="auto"/>
            </w:tcBorders>
          </w:tcPr>
          <w:p w14:paraId="13CFB1A1" w14:textId="7EEF4348" w:rsidR="00740E82" w:rsidRDefault="00EC6198" w:rsidP="00740E82">
            <w:pPr>
              <w:jc w:val="center"/>
              <w:rPr>
                <w:sz w:val="16"/>
                <w:szCs w:val="16"/>
              </w:rPr>
            </w:pPr>
            <w:r>
              <w:rPr>
                <w:sz w:val="16"/>
                <w:szCs w:val="16"/>
              </w:rPr>
              <w:t>0.036*</w:t>
            </w:r>
          </w:p>
          <w:p w14:paraId="50C3942D" w14:textId="11157326" w:rsidR="00EC6198" w:rsidRPr="00E61D88" w:rsidRDefault="00EC6198" w:rsidP="00740E82">
            <w:pPr>
              <w:jc w:val="center"/>
              <w:rPr>
                <w:sz w:val="16"/>
                <w:szCs w:val="16"/>
              </w:rPr>
            </w:pPr>
            <w:r>
              <w:rPr>
                <w:sz w:val="16"/>
                <w:szCs w:val="16"/>
              </w:rPr>
              <w:t>(0.017)</w:t>
            </w:r>
          </w:p>
        </w:tc>
        <w:tc>
          <w:tcPr>
            <w:tcW w:w="1572" w:type="dxa"/>
          </w:tcPr>
          <w:p w14:paraId="2B604F6E" w14:textId="58D5BAD1" w:rsidR="00740E82" w:rsidRPr="00F16930" w:rsidRDefault="00285F13" w:rsidP="00740E82">
            <w:pPr>
              <w:jc w:val="center"/>
              <w:rPr>
                <w:sz w:val="16"/>
                <w:szCs w:val="16"/>
                <w:vertAlign w:val="superscript"/>
              </w:rPr>
            </w:pPr>
            <w:r>
              <w:rPr>
                <w:sz w:val="16"/>
                <w:szCs w:val="16"/>
              </w:rPr>
              <w:t>0.0</w:t>
            </w:r>
            <w:r w:rsidR="00F16930">
              <w:rPr>
                <w:sz w:val="16"/>
                <w:szCs w:val="16"/>
              </w:rPr>
              <w:t>32</w:t>
            </w:r>
            <w:r w:rsidR="00F16930">
              <w:rPr>
                <w:sz w:val="16"/>
                <w:szCs w:val="16"/>
                <w:vertAlign w:val="superscript"/>
              </w:rPr>
              <w:t>+</w:t>
            </w:r>
          </w:p>
          <w:p w14:paraId="144D66D6" w14:textId="304EC484" w:rsidR="00F16930" w:rsidRPr="00AE58C7" w:rsidRDefault="00F16930" w:rsidP="00740E82">
            <w:pPr>
              <w:jc w:val="center"/>
              <w:rPr>
                <w:sz w:val="16"/>
                <w:szCs w:val="16"/>
              </w:rPr>
            </w:pPr>
            <w:r>
              <w:rPr>
                <w:sz w:val="16"/>
                <w:szCs w:val="16"/>
              </w:rPr>
              <w:t>(0.016)</w:t>
            </w:r>
          </w:p>
        </w:tc>
      </w:tr>
      <w:tr w:rsidR="00740E82" w:rsidRPr="00AE58C7" w14:paraId="4698BCC5" w14:textId="77777777" w:rsidTr="00F449BB">
        <w:tc>
          <w:tcPr>
            <w:tcW w:w="2740" w:type="dxa"/>
            <w:vAlign w:val="center"/>
          </w:tcPr>
          <w:p w14:paraId="4F565541" w14:textId="77777777" w:rsidR="00740E82" w:rsidRPr="00AE58C7" w:rsidRDefault="00740E82" w:rsidP="00740E82">
            <w:pPr>
              <w:rPr>
                <w:b/>
                <w:bCs/>
                <w:sz w:val="16"/>
                <w:szCs w:val="16"/>
              </w:rPr>
            </w:pPr>
            <w:r w:rsidRPr="00AE58C7">
              <w:rPr>
                <w:sz w:val="16"/>
                <w:szCs w:val="16"/>
              </w:rPr>
              <w:t xml:space="preserve"> Munster</w:t>
            </w:r>
          </w:p>
        </w:tc>
        <w:tc>
          <w:tcPr>
            <w:tcW w:w="1571" w:type="dxa"/>
            <w:vAlign w:val="center"/>
          </w:tcPr>
          <w:p w14:paraId="701C7944" w14:textId="0725D9B1" w:rsidR="00740E82" w:rsidRDefault="00740E82" w:rsidP="00740E82">
            <w:pPr>
              <w:jc w:val="center"/>
              <w:rPr>
                <w:sz w:val="16"/>
                <w:szCs w:val="16"/>
              </w:rPr>
            </w:pPr>
            <w:r>
              <w:rPr>
                <w:sz w:val="16"/>
                <w:szCs w:val="16"/>
              </w:rPr>
              <w:t>-0.056***</w:t>
            </w:r>
          </w:p>
          <w:p w14:paraId="426BA79A" w14:textId="0F652862" w:rsidR="00740E82" w:rsidRPr="00512EFF" w:rsidRDefault="00740E82" w:rsidP="00740E82">
            <w:pPr>
              <w:jc w:val="center"/>
              <w:rPr>
                <w:sz w:val="16"/>
                <w:szCs w:val="16"/>
              </w:rPr>
            </w:pPr>
            <w:r>
              <w:rPr>
                <w:sz w:val="16"/>
                <w:szCs w:val="16"/>
              </w:rPr>
              <w:t>(0.014)</w:t>
            </w:r>
          </w:p>
        </w:tc>
        <w:tc>
          <w:tcPr>
            <w:tcW w:w="1572" w:type="dxa"/>
            <w:gridSpan w:val="2"/>
            <w:tcBorders>
              <w:right w:val="single" w:sz="4" w:space="0" w:color="auto"/>
            </w:tcBorders>
            <w:vAlign w:val="center"/>
          </w:tcPr>
          <w:p w14:paraId="70B55F6F" w14:textId="05BA0821" w:rsidR="00740E82" w:rsidRDefault="00740E82" w:rsidP="00740E82">
            <w:pPr>
              <w:jc w:val="center"/>
              <w:rPr>
                <w:sz w:val="16"/>
                <w:szCs w:val="16"/>
              </w:rPr>
            </w:pPr>
            <w:r>
              <w:rPr>
                <w:sz w:val="16"/>
                <w:szCs w:val="16"/>
              </w:rPr>
              <w:t>-0.048**</w:t>
            </w:r>
          </w:p>
          <w:p w14:paraId="05B2EEA5" w14:textId="772FCD69" w:rsidR="00740E82" w:rsidRPr="00AE58C7" w:rsidRDefault="00740E82" w:rsidP="00740E82">
            <w:pPr>
              <w:jc w:val="center"/>
              <w:rPr>
                <w:sz w:val="16"/>
                <w:szCs w:val="16"/>
              </w:rPr>
            </w:pPr>
            <w:r>
              <w:rPr>
                <w:sz w:val="16"/>
                <w:szCs w:val="16"/>
              </w:rPr>
              <w:t>(0.014)</w:t>
            </w:r>
          </w:p>
        </w:tc>
        <w:tc>
          <w:tcPr>
            <w:tcW w:w="1571" w:type="dxa"/>
            <w:tcBorders>
              <w:left w:val="single" w:sz="4" w:space="0" w:color="auto"/>
            </w:tcBorders>
          </w:tcPr>
          <w:p w14:paraId="78B21380" w14:textId="42191770" w:rsidR="00740E82" w:rsidRPr="00550ACD" w:rsidRDefault="00EC6198" w:rsidP="00740E82">
            <w:pPr>
              <w:jc w:val="center"/>
              <w:rPr>
                <w:sz w:val="16"/>
                <w:szCs w:val="16"/>
                <w:vertAlign w:val="superscript"/>
              </w:rPr>
            </w:pPr>
            <w:r>
              <w:rPr>
                <w:sz w:val="16"/>
                <w:szCs w:val="16"/>
              </w:rPr>
              <w:t>0.029</w:t>
            </w:r>
            <w:r w:rsidR="00550ACD">
              <w:rPr>
                <w:sz w:val="16"/>
                <w:szCs w:val="16"/>
                <w:vertAlign w:val="superscript"/>
              </w:rPr>
              <w:t>+</w:t>
            </w:r>
          </w:p>
          <w:p w14:paraId="2AAED633" w14:textId="2D41ECF7" w:rsidR="00EC6198" w:rsidRPr="00AE58C7" w:rsidRDefault="00EC6198" w:rsidP="00740E82">
            <w:pPr>
              <w:jc w:val="center"/>
              <w:rPr>
                <w:sz w:val="16"/>
                <w:szCs w:val="16"/>
              </w:rPr>
            </w:pPr>
            <w:r>
              <w:rPr>
                <w:sz w:val="16"/>
                <w:szCs w:val="16"/>
              </w:rPr>
              <w:t>(0.016</w:t>
            </w:r>
            <w:r w:rsidR="00550ACD">
              <w:rPr>
                <w:sz w:val="16"/>
                <w:szCs w:val="16"/>
              </w:rPr>
              <w:t>)</w:t>
            </w:r>
          </w:p>
        </w:tc>
        <w:tc>
          <w:tcPr>
            <w:tcW w:w="1572" w:type="dxa"/>
          </w:tcPr>
          <w:p w14:paraId="7AE92FBD" w14:textId="77777777" w:rsidR="00740E82" w:rsidRDefault="00F16930" w:rsidP="00740E82">
            <w:pPr>
              <w:jc w:val="center"/>
              <w:rPr>
                <w:sz w:val="16"/>
                <w:szCs w:val="16"/>
              </w:rPr>
            </w:pPr>
            <w:r>
              <w:rPr>
                <w:sz w:val="16"/>
                <w:szCs w:val="16"/>
              </w:rPr>
              <w:t>0.021</w:t>
            </w:r>
          </w:p>
          <w:p w14:paraId="3CAFFD64" w14:textId="7510B505" w:rsidR="00F16930" w:rsidRPr="00AE58C7" w:rsidRDefault="00F16930" w:rsidP="00740E82">
            <w:pPr>
              <w:jc w:val="center"/>
              <w:rPr>
                <w:sz w:val="16"/>
                <w:szCs w:val="16"/>
              </w:rPr>
            </w:pPr>
            <w:r>
              <w:rPr>
                <w:sz w:val="16"/>
                <w:szCs w:val="16"/>
              </w:rPr>
              <w:t>(0.016)</w:t>
            </w:r>
          </w:p>
        </w:tc>
      </w:tr>
      <w:tr w:rsidR="00740E82" w:rsidRPr="00AE58C7" w14:paraId="71EC1132" w14:textId="77777777" w:rsidTr="00F449BB">
        <w:tc>
          <w:tcPr>
            <w:tcW w:w="2740" w:type="dxa"/>
            <w:vAlign w:val="center"/>
          </w:tcPr>
          <w:p w14:paraId="6C8EAA6E" w14:textId="77777777" w:rsidR="00740E82" w:rsidRPr="00AE58C7" w:rsidRDefault="00740E82" w:rsidP="00740E82">
            <w:pPr>
              <w:rPr>
                <w:b/>
                <w:bCs/>
                <w:sz w:val="16"/>
                <w:szCs w:val="16"/>
              </w:rPr>
            </w:pPr>
            <w:r w:rsidRPr="00AE58C7">
              <w:rPr>
                <w:sz w:val="16"/>
                <w:szCs w:val="16"/>
              </w:rPr>
              <w:t xml:space="preserve"> Connaught/Ulster</w:t>
            </w:r>
          </w:p>
        </w:tc>
        <w:tc>
          <w:tcPr>
            <w:tcW w:w="1571" w:type="dxa"/>
            <w:vAlign w:val="center"/>
          </w:tcPr>
          <w:p w14:paraId="67AF9011" w14:textId="0D69B723" w:rsidR="00740E82" w:rsidRDefault="00740E82" w:rsidP="00740E82">
            <w:pPr>
              <w:jc w:val="center"/>
              <w:rPr>
                <w:sz w:val="16"/>
                <w:szCs w:val="16"/>
              </w:rPr>
            </w:pPr>
            <w:r>
              <w:rPr>
                <w:sz w:val="16"/>
                <w:szCs w:val="16"/>
              </w:rPr>
              <w:t>-0.056***</w:t>
            </w:r>
          </w:p>
          <w:p w14:paraId="37698907" w14:textId="3BE18BA7" w:rsidR="00740E82" w:rsidRPr="00AE58C7" w:rsidRDefault="00740E82" w:rsidP="00740E82">
            <w:pPr>
              <w:jc w:val="center"/>
              <w:rPr>
                <w:sz w:val="16"/>
                <w:szCs w:val="16"/>
              </w:rPr>
            </w:pPr>
            <w:r>
              <w:rPr>
                <w:sz w:val="16"/>
                <w:szCs w:val="16"/>
              </w:rPr>
              <w:t>(0.016)</w:t>
            </w:r>
          </w:p>
        </w:tc>
        <w:tc>
          <w:tcPr>
            <w:tcW w:w="1572" w:type="dxa"/>
            <w:gridSpan w:val="2"/>
            <w:tcBorders>
              <w:right w:val="single" w:sz="4" w:space="0" w:color="auto"/>
            </w:tcBorders>
            <w:vAlign w:val="center"/>
          </w:tcPr>
          <w:p w14:paraId="64B69AFE" w14:textId="606DA3D6" w:rsidR="00740E82" w:rsidRDefault="00740E82" w:rsidP="00740E82">
            <w:pPr>
              <w:jc w:val="center"/>
              <w:rPr>
                <w:sz w:val="16"/>
                <w:szCs w:val="16"/>
              </w:rPr>
            </w:pPr>
            <w:r>
              <w:rPr>
                <w:sz w:val="16"/>
                <w:szCs w:val="16"/>
              </w:rPr>
              <w:t>-0.054**</w:t>
            </w:r>
          </w:p>
          <w:p w14:paraId="20E090B3" w14:textId="1610AEDE" w:rsidR="00740E82" w:rsidRPr="00AE58C7" w:rsidRDefault="00740E82" w:rsidP="00740E82">
            <w:pPr>
              <w:jc w:val="center"/>
              <w:rPr>
                <w:sz w:val="16"/>
                <w:szCs w:val="16"/>
              </w:rPr>
            </w:pPr>
            <w:r>
              <w:rPr>
                <w:sz w:val="16"/>
                <w:szCs w:val="16"/>
              </w:rPr>
              <w:t>(0.016)</w:t>
            </w:r>
          </w:p>
        </w:tc>
        <w:tc>
          <w:tcPr>
            <w:tcW w:w="1571" w:type="dxa"/>
            <w:tcBorders>
              <w:left w:val="single" w:sz="4" w:space="0" w:color="auto"/>
            </w:tcBorders>
          </w:tcPr>
          <w:p w14:paraId="3D824777" w14:textId="3C7726D2" w:rsidR="00740E82" w:rsidRDefault="00550ACD" w:rsidP="00740E82">
            <w:pPr>
              <w:jc w:val="center"/>
              <w:rPr>
                <w:sz w:val="16"/>
                <w:szCs w:val="16"/>
              </w:rPr>
            </w:pPr>
            <w:r>
              <w:rPr>
                <w:sz w:val="16"/>
                <w:szCs w:val="16"/>
              </w:rPr>
              <w:t>0.079***</w:t>
            </w:r>
          </w:p>
          <w:p w14:paraId="64A15AC3" w14:textId="45797B85" w:rsidR="00550ACD" w:rsidRPr="00E61D88" w:rsidRDefault="00550ACD" w:rsidP="00740E82">
            <w:pPr>
              <w:jc w:val="center"/>
              <w:rPr>
                <w:sz w:val="16"/>
                <w:szCs w:val="16"/>
              </w:rPr>
            </w:pPr>
            <w:r>
              <w:rPr>
                <w:sz w:val="16"/>
                <w:szCs w:val="16"/>
              </w:rPr>
              <w:t>(0.018)</w:t>
            </w:r>
          </w:p>
        </w:tc>
        <w:tc>
          <w:tcPr>
            <w:tcW w:w="1572" w:type="dxa"/>
          </w:tcPr>
          <w:p w14:paraId="267EC15D" w14:textId="3421C8C7" w:rsidR="00740E82" w:rsidRDefault="00F16930" w:rsidP="00740E82">
            <w:pPr>
              <w:jc w:val="center"/>
              <w:rPr>
                <w:sz w:val="16"/>
                <w:szCs w:val="16"/>
              </w:rPr>
            </w:pPr>
            <w:r>
              <w:rPr>
                <w:sz w:val="16"/>
                <w:szCs w:val="16"/>
              </w:rPr>
              <w:t>0.078</w:t>
            </w:r>
            <w:r w:rsidR="00DC1258">
              <w:rPr>
                <w:sz w:val="16"/>
                <w:szCs w:val="16"/>
              </w:rPr>
              <w:t>***</w:t>
            </w:r>
          </w:p>
          <w:p w14:paraId="01E9659E" w14:textId="700B786E" w:rsidR="00F16930" w:rsidRPr="00AE58C7" w:rsidRDefault="00F16930" w:rsidP="00740E82">
            <w:pPr>
              <w:jc w:val="center"/>
              <w:rPr>
                <w:sz w:val="16"/>
                <w:szCs w:val="16"/>
              </w:rPr>
            </w:pPr>
            <w:r>
              <w:rPr>
                <w:sz w:val="16"/>
                <w:szCs w:val="16"/>
              </w:rPr>
              <w:t>(0.01</w:t>
            </w:r>
            <w:r w:rsidR="00BE3B28">
              <w:rPr>
                <w:sz w:val="16"/>
                <w:szCs w:val="16"/>
              </w:rPr>
              <w:t>8)</w:t>
            </w:r>
          </w:p>
        </w:tc>
      </w:tr>
      <w:tr w:rsidR="00740E82" w:rsidRPr="00AE58C7" w14:paraId="2134D579" w14:textId="77777777" w:rsidTr="00F449BB">
        <w:tc>
          <w:tcPr>
            <w:tcW w:w="4962" w:type="dxa"/>
            <w:gridSpan w:val="3"/>
            <w:vAlign w:val="center"/>
          </w:tcPr>
          <w:p w14:paraId="085CB138" w14:textId="77777777" w:rsidR="00740E82" w:rsidRPr="00AE58C7" w:rsidRDefault="00740E82" w:rsidP="00740E82">
            <w:pPr>
              <w:rPr>
                <w:sz w:val="16"/>
                <w:szCs w:val="16"/>
              </w:rPr>
            </w:pPr>
            <w:r>
              <w:rPr>
                <w:i/>
                <w:iCs/>
                <w:sz w:val="16"/>
                <w:szCs w:val="16"/>
              </w:rPr>
              <w:t>Highest e</w:t>
            </w:r>
            <w:r w:rsidRPr="00AE58C7">
              <w:rPr>
                <w:i/>
                <w:iCs/>
                <w:sz w:val="16"/>
                <w:szCs w:val="16"/>
              </w:rPr>
              <w:t>ducational achievement</w:t>
            </w:r>
            <w:r>
              <w:rPr>
                <w:i/>
                <w:iCs/>
                <w:sz w:val="16"/>
                <w:szCs w:val="16"/>
              </w:rPr>
              <w:t xml:space="preserve"> </w:t>
            </w:r>
            <w:r w:rsidRPr="00AE58C7">
              <w:rPr>
                <w:i/>
                <w:iCs/>
                <w:sz w:val="16"/>
                <w:szCs w:val="16"/>
              </w:rPr>
              <w:t>(Ref: less than Leaving Certificate)</w:t>
            </w:r>
          </w:p>
        </w:tc>
        <w:tc>
          <w:tcPr>
            <w:tcW w:w="921" w:type="dxa"/>
            <w:tcBorders>
              <w:right w:val="single" w:sz="4" w:space="0" w:color="auto"/>
            </w:tcBorders>
            <w:vAlign w:val="center"/>
          </w:tcPr>
          <w:p w14:paraId="670753BC" w14:textId="77777777" w:rsidR="00740E82" w:rsidRPr="00AE58C7" w:rsidRDefault="00740E82" w:rsidP="00740E82">
            <w:pPr>
              <w:jc w:val="center"/>
              <w:rPr>
                <w:sz w:val="16"/>
                <w:szCs w:val="16"/>
              </w:rPr>
            </w:pPr>
          </w:p>
        </w:tc>
        <w:tc>
          <w:tcPr>
            <w:tcW w:w="1571" w:type="dxa"/>
            <w:tcBorders>
              <w:left w:val="single" w:sz="4" w:space="0" w:color="auto"/>
            </w:tcBorders>
          </w:tcPr>
          <w:p w14:paraId="1F243B73" w14:textId="77777777" w:rsidR="00740E82" w:rsidRDefault="00740E82" w:rsidP="00740E82">
            <w:pPr>
              <w:jc w:val="center"/>
              <w:rPr>
                <w:sz w:val="16"/>
                <w:szCs w:val="16"/>
              </w:rPr>
            </w:pPr>
          </w:p>
        </w:tc>
        <w:tc>
          <w:tcPr>
            <w:tcW w:w="1572" w:type="dxa"/>
          </w:tcPr>
          <w:p w14:paraId="4C0970AF" w14:textId="77777777" w:rsidR="00740E82" w:rsidRDefault="00740E82" w:rsidP="00740E82">
            <w:pPr>
              <w:jc w:val="center"/>
              <w:rPr>
                <w:sz w:val="16"/>
                <w:szCs w:val="16"/>
              </w:rPr>
            </w:pPr>
          </w:p>
        </w:tc>
      </w:tr>
      <w:tr w:rsidR="00740E82" w:rsidRPr="00AE58C7" w14:paraId="1465581B" w14:textId="77777777" w:rsidTr="00F449BB">
        <w:tc>
          <w:tcPr>
            <w:tcW w:w="2740" w:type="dxa"/>
            <w:vAlign w:val="center"/>
          </w:tcPr>
          <w:p w14:paraId="02EE4C04" w14:textId="77777777" w:rsidR="00740E82" w:rsidRPr="00AE58C7" w:rsidRDefault="00740E82" w:rsidP="00740E82">
            <w:pPr>
              <w:rPr>
                <w:b/>
                <w:bCs/>
                <w:sz w:val="16"/>
                <w:szCs w:val="16"/>
              </w:rPr>
            </w:pPr>
            <w:r w:rsidRPr="00AE58C7">
              <w:rPr>
                <w:sz w:val="16"/>
                <w:szCs w:val="16"/>
              </w:rPr>
              <w:t xml:space="preserve"> Leaving Certificate</w:t>
            </w:r>
          </w:p>
        </w:tc>
        <w:tc>
          <w:tcPr>
            <w:tcW w:w="1571" w:type="dxa"/>
            <w:vAlign w:val="center"/>
          </w:tcPr>
          <w:p w14:paraId="7E96CBBF" w14:textId="77777777" w:rsidR="00740E82" w:rsidRDefault="006D62BB" w:rsidP="00740E82">
            <w:pPr>
              <w:jc w:val="center"/>
              <w:rPr>
                <w:sz w:val="16"/>
                <w:szCs w:val="16"/>
              </w:rPr>
            </w:pPr>
            <w:r>
              <w:rPr>
                <w:sz w:val="16"/>
                <w:szCs w:val="16"/>
              </w:rPr>
              <w:t>-0.010</w:t>
            </w:r>
          </w:p>
          <w:p w14:paraId="58155D8A" w14:textId="4C606D98" w:rsidR="006D62BB" w:rsidRPr="00AE58C7" w:rsidRDefault="006D62BB" w:rsidP="00740E82">
            <w:pPr>
              <w:jc w:val="center"/>
              <w:rPr>
                <w:sz w:val="16"/>
                <w:szCs w:val="16"/>
              </w:rPr>
            </w:pPr>
            <w:r>
              <w:rPr>
                <w:sz w:val="16"/>
                <w:szCs w:val="16"/>
              </w:rPr>
              <w:t>(0.014)</w:t>
            </w:r>
          </w:p>
        </w:tc>
        <w:tc>
          <w:tcPr>
            <w:tcW w:w="1572" w:type="dxa"/>
            <w:gridSpan w:val="2"/>
            <w:tcBorders>
              <w:right w:val="single" w:sz="4" w:space="0" w:color="auto"/>
            </w:tcBorders>
            <w:vAlign w:val="center"/>
          </w:tcPr>
          <w:p w14:paraId="761E5066" w14:textId="77777777" w:rsidR="00740E82" w:rsidRDefault="00740E82" w:rsidP="00740E82">
            <w:pPr>
              <w:jc w:val="center"/>
              <w:rPr>
                <w:sz w:val="16"/>
                <w:szCs w:val="16"/>
              </w:rPr>
            </w:pPr>
            <w:r>
              <w:rPr>
                <w:sz w:val="16"/>
                <w:szCs w:val="16"/>
              </w:rPr>
              <w:t>-0.013</w:t>
            </w:r>
          </w:p>
          <w:p w14:paraId="4279CEE0" w14:textId="7ECA1D50" w:rsidR="00740E82" w:rsidRPr="00AE58C7" w:rsidRDefault="00740E82" w:rsidP="00740E82">
            <w:pPr>
              <w:jc w:val="center"/>
              <w:rPr>
                <w:sz w:val="16"/>
                <w:szCs w:val="16"/>
              </w:rPr>
            </w:pPr>
            <w:r>
              <w:rPr>
                <w:sz w:val="16"/>
                <w:szCs w:val="16"/>
              </w:rPr>
              <w:t>(0.015)</w:t>
            </w:r>
          </w:p>
        </w:tc>
        <w:tc>
          <w:tcPr>
            <w:tcW w:w="1571" w:type="dxa"/>
            <w:tcBorders>
              <w:left w:val="single" w:sz="4" w:space="0" w:color="auto"/>
            </w:tcBorders>
          </w:tcPr>
          <w:p w14:paraId="5D4FA41B" w14:textId="77777777" w:rsidR="00740E82" w:rsidRDefault="00550ACD" w:rsidP="00740E82">
            <w:pPr>
              <w:jc w:val="center"/>
              <w:rPr>
                <w:sz w:val="16"/>
                <w:szCs w:val="16"/>
              </w:rPr>
            </w:pPr>
            <w:r>
              <w:rPr>
                <w:sz w:val="16"/>
                <w:szCs w:val="16"/>
              </w:rPr>
              <w:t>0.003</w:t>
            </w:r>
          </w:p>
          <w:p w14:paraId="2F13F216" w14:textId="12161E2A" w:rsidR="00550ACD" w:rsidRPr="00AE58C7" w:rsidRDefault="00550ACD" w:rsidP="00740E82">
            <w:pPr>
              <w:jc w:val="center"/>
              <w:rPr>
                <w:sz w:val="16"/>
                <w:szCs w:val="16"/>
              </w:rPr>
            </w:pPr>
            <w:r>
              <w:rPr>
                <w:sz w:val="16"/>
                <w:szCs w:val="16"/>
              </w:rPr>
              <w:t>(0.017)</w:t>
            </w:r>
          </w:p>
        </w:tc>
        <w:tc>
          <w:tcPr>
            <w:tcW w:w="1572" w:type="dxa"/>
          </w:tcPr>
          <w:p w14:paraId="684D63C8" w14:textId="77777777" w:rsidR="00740E82" w:rsidRDefault="00BE3B28" w:rsidP="00740E82">
            <w:pPr>
              <w:jc w:val="center"/>
              <w:rPr>
                <w:sz w:val="16"/>
                <w:szCs w:val="16"/>
              </w:rPr>
            </w:pPr>
            <w:r>
              <w:rPr>
                <w:sz w:val="16"/>
                <w:szCs w:val="16"/>
              </w:rPr>
              <w:t>0.005</w:t>
            </w:r>
          </w:p>
          <w:p w14:paraId="10FB5129" w14:textId="6C7F0992" w:rsidR="00BE3B28" w:rsidRPr="00AE58C7" w:rsidRDefault="00BE3B28" w:rsidP="00740E82">
            <w:pPr>
              <w:jc w:val="center"/>
              <w:rPr>
                <w:sz w:val="16"/>
                <w:szCs w:val="16"/>
              </w:rPr>
            </w:pPr>
            <w:r>
              <w:rPr>
                <w:sz w:val="16"/>
                <w:szCs w:val="16"/>
              </w:rPr>
              <w:t>(0.017)</w:t>
            </w:r>
          </w:p>
        </w:tc>
      </w:tr>
      <w:tr w:rsidR="00740E82" w:rsidRPr="00AE58C7" w14:paraId="32BC6326" w14:textId="77777777" w:rsidTr="00F449BB">
        <w:tc>
          <w:tcPr>
            <w:tcW w:w="2740" w:type="dxa"/>
            <w:vAlign w:val="center"/>
          </w:tcPr>
          <w:p w14:paraId="0EF1BEDB" w14:textId="77777777" w:rsidR="00740E82" w:rsidRPr="00AE58C7" w:rsidRDefault="00740E82" w:rsidP="00740E82">
            <w:pPr>
              <w:rPr>
                <w:sz w:val="16"/>
                <w:szCs w:val="16"/>
              </w:rPr>
            </w:pPr>
            <w:r w:rsidRPr="00AE58C7">
              <w:rPr>
                <w:sz w:val="16"/>
                <w:szCs w:val="16"/>
              </w:rPr>
              <w:t xml:space="preserve"> Degree (graduate/postgraduate)</w:t>
            </w:r>
          </w:p>
        </w:tc>
        <w:tc>
          <w:tcPr>
            <w:tcW w:w="1571" w:type="dxa"/>
            <w:vAlign w:val="center"/>
          </w:tcPr>
          <w:p w14:paraId="6C94239A" w14:textId="69EC1957" w:rsidR="00740E82" w:rsidRDefault="00561B1A" w:rsidP="00740E82">
            <w:pPr>
              <w:jc w:val="center"/>
              <w:rPr>
                <w:sz w:val="16"/>
                <w:szCs w:val="16"/>
              </w:rPr>
            </w:pPr>
            <w:r>
              <w:rPr>
                <w:sz w:val="16"/>
                <w:szCs w:val="16"/>
              </w:rPr>
              <w:t>-0.042**</w:t>
            </w:r>
          </w:p>
          <w:p w14:paraId="342D2126" w14:textId="36953388" w:rsidR="00561B1A" w:rsidRPr="00AE58C7" w:rsidRDefault="00561B1A" w:rsidP="00740E82">
            <w:pPr>
              <w:jc w:val="center"/>
              <w:rPr>
                <w:sz w:val="16"/>
                <w:szCs w:val="16"/>
              </w:rPr>
            </w:pPr>
            <w:r>
              <w:rPr>
                <w:sz w:val="16"/>
                <w:szCs w:val="16"/>
              </w:rPr>
              <w:t>(0.016)</w:t>
            </w:r>
          </w:p>
        </w:tc>
        <w:tc>
          <w:tcPr>
            <w:tcW w:w="1572" w:type="dxa"/>
            <w:gridSpan w:val="2"/>
            <w:tcBorders>
              <w:right w:val="single" w:sz="4" w:space="0" w:color="auto"/>
            </w:tcBorders>
            <w:vAlign w:val="center"/>
          </w:tcPr>
          <w:p w14:paraId="6BFCA836" w14:textId="12EDB01F" w:rsidR="00740E82" w:rsidRDefault="00740E82" w:rsidP="00740E82">
            <w:pPr>
              <w:jc w:val="center"/>
              <w:rPr>
                <w:sz w:val="16"/>
                <w:szCs w:val="16"/>
              </w:rPr>
            </w:pPr>
            <w:r>
              <w:rPr>
                <w:sz w:val="16"/>
                <w:szCs w:val="16"/>
              </w:rPr>
              <w:t>-0.038*</w:t>
            </w:r>
          </w:p>
          <w:p w14:paraId="1784084F" w14:textId="08AD7D71" w:rsidR="00740E82" w:rsidRPr="00AE58C7" w:rsidRDefault="00740E82" w:rsidP="00740E82">
            <w:pPr>
              <w:jc w:val="center"/>
              <w:rPr>
                <w:sz w:val="16"/>
                <w:szCs w:val="16"/>
              </w:rPr>
            </w:pPr>
            <w:r>
              <w:rPr>
                <w:sz w:val="16"/>
                <w:szCs w:val="16"/>
              </w:rPr>
              <w:t>(0.016)</w:t>
            </w:r>
          </w:p>
        </w:tc>
        <w:tc>
          <w:tcPr>
            <w:tcW w:w="1571" w:type="dxa"/>
            <w:tcBorders>
              <w:left w:val="single" w:sz="4" w:space="0" w:color="auto"/>
            </w:tcBorders>
          </w:tcPr>
          <w:p w14:paraId="0966E46A" w14:textId="77777777" w:rsidR="00740E82" w:rsidRDefault="005F1E51" w:rsidP="00740E82">
            <w:pPr>
              <w:jc w:val="center"/>
              <w:rPr>
                <w:sz w:val="16"/>
                <w:szCs w:val="16"/>
              </w:rPr>
            </w:pPr>
            <w:r>
              <w:rPr>
                <w:sz w:val="16"/>
                <w:szCs w:val="16"/>
              </w:rPr>
              <w:t>-0.005</w:t>
            </w:r>
          </w:p>
          <w:p w14:paraId="010EAE62" w14:textId="262BAF24" w:rsidR="005F1E51" w:rsidRPr="00AE58C7" w:rsidRDefault="005F1E51" w:rsidP="00740E82">
            <w:pPr>
              <w:jc w:val="center"/>
              <w:rPr>
                <w:sz w:val="16"/>
                <w:szCs w:val="16"/>
              </w:rPr>
            </w:pPr>
            <w:r>
              <w:rPr>
                <w:sz w:val="16"/>
                <w:szCs w:val="16"/>
              </w:rPr>
              <w:t>(0.018)</w:t>
            </w:r>
          </w:p>
        </w:tc>
        <w:tc>
          <w:tcPr>
            <w:tcW w:w="1572" w:type="dxa"/>
          </w:tcPr>
          <w:p w14:paraId="0FD8B4D3" w14:textId="77777777" w:rsidR="00740E82" w:rsidRDefault="00BE3B28" w:rsidP="00740E82">
            <w:pPr>
              <w:jc w:val="center"/>
              <w:rPr>
                <w:sz w:val="16"/>
                <w:szCs w:val="16"/>
              </w:rPr>
            </w:pPr>
            <w:r>
              <w:rPr>
                <w:sz w:val="16"/>
                <w:szCs w:val="16"/>
              </w:rPr>
              <w:t>-0.010</w:t>
            </w:r>
          </w:p>
          <w:p w14:paraId="0388D0BC" w14:textId="2B2F3806" w:rsidR="00BE3B28" w:rsidRPr="00AE58C7" w:rsidRDefault="00BE3B28" w:rsidP="00740E82">
            <w:pPr>
              <w:jc w:val="center"/>
              <w:rPr>
                <w:sz w:val="16"/>
                <w:szCs w:val="16"/>
              </w:rPr>
            </w:pPr>
            <w:r>
              <w:rPr>
                <w:sz w:val="16"/>
                <w:szCs w:val="16"/>
              </w:rPr>
              <w:t>(0.018)</w:t>
            </w:r>
          </w:p>
        </w:tc>
      </w:tr>
      <w:tr w:rsidR="00740E82" w:rsidRPr="00AE58C7" w14:paraId="1B32FFEB" w14:textId="77777777" w:rsidTr="00F449BB">
        <w:tc>
          <w:tcPr>
            <w:tcW w:w="2740" w:type="dxa"/>
            <w:tcBorders>
              <w:bottom w:val="nil"/>
            </w:tcBorders>
            <w:vAlign w:val="center"/>
          </w:tcPr>
          <w:p w14:paraId="00347666" w14:textId="77777777" w:rsidR="00740E82" w:rsidRPr="00AE58C7" w:rsidRDefault="00740E82" w:rsidP="00740E82">
            <w:pPr>
              <w:rPr>
                <w:sz w:val="16"/>
                <w:szCs w:val="16"/>
              </w:rPr>
            </w:pPr>
            <w:r w:rsidRPr="00AE58C7">
              <w:rPr>
                <w:sz w:val="16"/>
                <w:szCs w:val="16"/>
              </w:rPr>
              <w:t>Participate in social groups</w:t>
            </w:r>
          </w:p>
        </w:tc>
        <w:tc>
          <w:tcPr>
            <w:tcW w:w="1571" w:type="dxa"/>
            <w:tcBorders>
              <w:bottom w:val="nil"/>
            </w:tcBorders>
            <w:vAlign w:val="center"/>
          </w:tcPr>
          <w:p w14:paraId="06012CF6" w14:textId="77777777" w:rsidR="00740E82" w:rsidRDefault="00561B1A" w:rsidP="00740E82">
            <w:pPr>
              <w:jc w:val="center"/>
              <w:rPr>
                <w:sz w:val="16"/>
                <w:szCs w:val="16"/>
              </w:rPr>
            </w:pPr>
            <w:r>
              <w:rPr>
                <w:sz w:val="16"/>
                <w:szCs w:val="16"/>
              </w:rPr>
              <w:t>-0.012</w:t>
            </w:r>
          </w:p>
          <w:p w14:paraId="07A5504E" w14:textId="3E3D89C8" w:rsidR="00561B1A" w:rsidRPr="00AE58C7" w:rsidRDefault="00561B1A" w:rsidP="00740E82">
            <w:pPr>
              <w:jc w:val="center"/>
              <w:rPr>
                <w:sz w:val="16"/>
                <w:szCs w:val="16"/>
              </w:rPr>
            </w:pPr>
            <w:r>
              <w:rPr>
                <w:sz w:val="16"/>
                <w:szCs w:val="16"/>
              </w:rPr>
              <w:t>(0.013)</w:t>
            </w:r>
          </w:p>
        </w:tc>
        <w:tc>
          <w:tcPr>
            <w:tcW w:w="1572" w:type="dxa"/>
            <w:gridSpan w:val="2"/>
            <w:tcBorders>
              <w:bottom w:val="nil"/>
              <w:right w:val="single" w:sz="4" w:space="0" w:color="auto"/>
            </w:tcBorders>
            <w:vAlign w:val="center"/>
          </w:tcPr>
          <w:p w14:paraId="33B2D9AB" w14:textId="77777777" w:rsidR="00740E82" w:rsidRDefault="00740E82" w:rsidP="00740E82">
            <w:pPr>
              <w:jc w:val="center"/>
              <w:rPr>
                <w:sz w:val="16"/>
                <w:szCs w:val="16"/>
              </w:rPr>
            </w:pPr>
            <w:r>
              <w:rPr>
                <w:sz w:val="16"/>
                <w:szCs w:val="16"/>
              </w:rPr>
              <w:t>-0.137</w:t>
            </w:r>
          </w:p>
          <w:p w14:paraId="515324AE" w14:textId="61311567" w:rsidR="00740E82" w:rsidRPr="00AE58C7" w:rsidRDefault="00740E82" w:rsidP="00740E82">
            <w:pPr>
              <w:jc w:val="center"/>
              <w:rPr>
                <w:sz w:val="16"/>
                <w:szCs w:val="16"/>
              </w:rPr>
            </w:pPr>
            <w:r>
              <w:rPr>
                <w:sz w:val="16"/>
                <w:szCs w:val="16"/>
              </w:rPr>
              <w:t>(0.013)</w:t>
            </w:r>
          </w:p>
        </w:tc>
        <w:tc>
          <w:tcPr>
            <w:tcW w:w="1571" w:type="dxa"/>
            <w:tcBorders>
              <w:left w:val="single" w:sz="4" w:space="0" w:color="auto"/>
              <w:bottom w:val="nil"/>
            </w:tcBorders>
          </w:tcPr>
          <w:p w14:paraId="41F5AF6C" w14:textId="65FA33EC" w:rsidR="00740E82" w:rsidRDefault="005F1E51" w:rsidP="00740E82">
            <w:pPr>
              <w:jc w:val="center"/>
              <w:rPr>
                <w:sz w:val="16"/>
                <w:szCs w:val="16"/>
              </w:rPr>
            </w:pPr>
            <w:r>
              <w:rPr>
                <w:sz w:val="16"/>
                <w:szCs w:val="16"/>
              </w:rPr>
              <w:t>0.047</w:t>
            </w:r>
            <w:r w:rsidR="00AE2EC2">
              <w:rPr>
                <w:sz w:val="16"/>
                <w:szCs w:val="16"/>
              </w:rPr>
              <w:t>**</w:t>
            </w:r>
          </w:p>
          <w:p w14:paraId="55FA2FE1" w14:textId="6FC4771B" w:rsidR="005F1E51" w:rsidRPr="00AE58C7" w:rsidRDefault="005F1E51" w:rsidP="00740E82">
            <w:pPr>
              <w:jc w:val="center"/>
              <w:rPr>
                <w:sz w:val="16"/>
                <w:szCs w:val="16"/>
              </w:rPr>
            </w:pPr>
            <w:r>
              <w:rPr>
                <w:sz w:val="16"/>
                <w:szCs w:val="16"/>
              </w:rPr>
              <w:t>(0.015)</w:t>
            </w:r>
          </w:p>
        </w:tc>
        <w:tc>
          <w:tcPr>
            <w:tcW w:w="1572" w:type="dxa"/>
            <w:tcBorders>
              <w:bottom w:val="nil"/>
            </w:tcBorders>
          </w:tcPr>
          <w:p w14:paraId="283AFA00" w14:textId="00F194D0" w:rsidR="00740E82" w:rsidRDefault="00BE3B28" w:rsidP="00740E82">
            <w:pPr>
              <w:jc w:val="center"/>
              <w:rPr>
                <w:sz w:val="16"/>
                <w:szCs w:val="16"/>
              </w:rPr>
            </w:pPr>
            <w:r>
              <w:rPr>
                <w:sz w:val="16"/>
                <w:szCs w:val="16"/>
              </w:rPr>
              <w:t>0.0</w:t>
            </w:r>
            <w:r w:rsidR="00DC1258">
              <w:rPr>
                <w:sz w:val="16"/>
                <w:szCs w:val="16"/>
              </w:rPr>
              <w:t>48**</w:t>
            </w:r>
          </w:p>
          <w:p w14:paraId="2BD811E3" w14:textId="5A8A42A2" w:rsidR="00DC1258" w:rsidRPr="00AE58C7" w:rsidRDefault="00DC1258" w:rsidP="00740E82">
            <w:pPr>
              <w:jc w:val="center"/>
              <w:rPr>
                <w:sz w:val="16"/>
                <w:szCs w:val="16"/>
              </w:rPr>
            </w:pPr>
            <w:r>
              <w:rPr>
                <w:sz w:val="16"/>
                <w:szCs w:val="16"/>
              </w:rPr>
              <w:t>(0.015)</w:t>
            </w:r>
          </w:p>
        </w:tc>
      </w:tr>
      <w:tr w:rsidR="00740E82" w:rsidRPr="00AE58C7" w14:paraId="2A211EE6" w14:textId="77777777" w:rsidTr="00F449BB">
        <w:tc>
          <w:tcPr>
            <w:tcW w:w="2740" w:type="dxa"/>
            <w:tcBorders>
              <w:top w:val="nil"/>
              <w:bottom w:val="single" w:sz="4" w:space="0" w:color="auto"/>
            </w:tcBorders>
            <w:vAlign w:val="center"/>
          </w:tcPr>
          <w:p w14:paraId="0E9094AB" w14:textId="77777777" w:rsidR="00740E82" w:rsidRPr="00AE58C7" w:rsidRDefault="00740E82" w:rsidP="00740E82">
            <w:pPr>
              <w:rPr>
                <w:sz w:val="16"/>
                <w:szCs w:val="16"/>
              </w:rPr>
            </w:pPr>
            <w:r w:rsidRPr="00AE58C7">
              <w:rPr>
                <w:sz w:val="16"/>
                <w:szCs w:val="16"/>
              </w:rPr>
              <w:t xml:space="preserve">Few people to count on </w:t>
            </w:r>
          </w:p>
        </w:tc>
        <w:tc>
          <w:tcPr>
            <w:tcW w:w="1571" w:type="dxa"/>
            <w:tcBorders>
              <w:top w:val="nil"/>
              <w:bottom w:val="single" w:sz="4" w:space="0" w:color="auto"/>
            </w:tcBorders>
            <w:vAlign w:val="center"/>
          </w:tcPr>
          <w:p w14:paraId="0F962D41" w14:textId="3A6C92A1" w:rsidR="00740E82" w:rsidRDefault="00561B1A" w:rsidP="00740E82">
            <w:pPr>
              <w:jc w:val="center"/>
              <w:rPr>
                <w:sz w:val="16"/>
                <w:szCs w:val="16"/>
              </w:rPr>
            </w:pPr>
            <w:r>
              <w:rPr>
                <w:sz w:val="16"/>
                <w:szCs w:val="16"/>
              </w:rPr>
              <w:t>0.068***</w:t>
            </w:r>
          </w:p>
          <w:p w14:paraId="42FBC54E" w14:textId="3189E571" w:rsidR="00561B1A" w:rsidRPr="00AE58C7" w:rsidRDefault="00561B1A" w:rsidP="00740E82">
            <w:pPr>
              <w:jc w:val="center"/>
              <w:rPr>
                <w:sz w:val="16"/>
                <w:szCs w:val="16"/>
              </w:rPr>
            </w:pPr>
            <w:r>
              <w:rPr>
                <w:sz w:val="16"/>
                <w:szCs w:val="16"/>
              </w:rPr>
              <w:t>(0.012)</w:t>
            </w:r>
          </w:p>
        </w:tc>
        <w:tc>
          <w:tcPr>
            <w:tcW w:w="1572" w:type="dxa"/>
            <w:gridSpan w:val="2"/>
            <w:tcBorders>
              <w:top w:val="nil"/>
              <w:bottom w:val="single" w:sz="4" w:space="0" w:color="auto"/>
              <w:right w:val="single" w:sz="4" w:space="0" w:color="auto"/>
            </w:tcBorders>
            <w:vAlign w:val="center"/>
          </w:tcPr>
          <w:p w14:paraId="57E08A8B" w14:textId="6D9F7D44" w:rsidR="00740E82" w:rsidRDefault="00740E82" w:rsidP="00740E82">
            <w:pPr>
              <w:jc w:val="center"/>
              <w:rPr>
                <w:sz w:val="16"/>
                <w:szCs w:val="16"/>
              </w:rPr>
            </w:pPr>
            <w:r>
              <w:rPr>
                <w:sz w:val="16"/>
                <w:szCs w:val="16"/>
              </w:rPr>
              <w:t>0.060***</w:t>
            </w:r>
          </w:p>
          <w:p w14:paraId="0836FA71" w14:textId="4B32DCC1" w:rsidR="00740E82" w:rsidRPr="00AE58C7" w:rsidRDefault="00740E82" w:rsidP="00740E82">
            <w:pPr>
              <w:jc w:val="center"/>
              <w:rPr>
                <w:sz w:val="16"/>
                <w:szCs w:val="16"/>
              </w:rPr>
            </w:pPr>
            <w:r>
              <w:rPr>
                <w:sz w:val="16"/>
                <w:szCs w:val="16"/>
              </w:rPr>
              <w:t>(0.012)</w:t>
            </w:r>
          </w:p>
        </w:tc>
        <w:tc>
          <w:tcPr>
            <w:tcW w:w="1571" w:type="dxa"/>
            <w:tcBorders>
              <w:top w:val="nil"/>
              <w:left w:val="single" w:sz="4" w:space="0" w:color="auto"/>
              <w:bottom w:val="single" w:sz="4" w:space="0" w:color="auto"/>
            </w:tcBorders>
          </w:tcPr>
          <w:p w14:paraId="4766F66A" w14:textId="57C8A05F" w:rsidR="00740E82" w:rsidRDefault="005F1E51" w:rsidP="00740E82">
            <w:pPr>
              <w:jc w:val="center"/>
              <w:rPr>
                <w:sz w:val="16"/>
                <w:szCs w:val="16"/>
              </w:rPr>
            </w:pPr>
            <w:r>
              <w:rPr>
                <w:sz w:val="16"/>
                <w:szCs w:val="16"/>
              </w:rPr>
              <w:t>-0.084</w:t>
            </w:r>
            <w:r w:rsidR="00AE2EC2">
              <w:rPr>
                <w:sz w:val="16"/>
                <w:szCs w:val="16"/>
              </w:rPr>
              <w:t>***</w:t>
            </w:r>
          </w:p>
          <w:p w14:paraId="694E807E" w14:textId="1849F32A" w:rsidR="005F1E51" w:rsidRPr="00AE58C7" w:rsidRDefault="005F1E51" w:rsidP="00740E82">
            <w:pPr>
              <w:jc w:val="center"/>
              <w:rPr>
                <w:sz w:val="16"/>
                <w:szCs w:val="16"/>
              </w:rPr>
            </w:pPr>
            <w:r>
              <w:rPr>
                <w:sz w:val="16"/>
                <w:szCs w:val="16"/>
              </w:rPr>
              <w:t>(0.0</w:t>
            </w:r>
            <w:r w:rsidR="00AE2EC2">
              <w:rPr>
                <w:sz w:val="16"/>
                <w:szCs w:val="16"/>
              </w:rPr>
              <w:t>14)</w:t>
            </w:r>
          </w:p>
        </w:tc>
        <w:tc>
          <w:tcPr>
            <w:tcW w:w="1572" w:type="dxa"/>
            <w:tcBorders>
              <w:top w:val="nil"/>
              <w:bottom w:val="single" w:sz="4" w:space="0" w:color="auto"/>
            </w:tcBorders>
          </w:tcPr>
          <w:p w14:paraId="5AD5DA84" w14:textId="074E023D" w:rsidR="00740E82" w:rsidRDefault="00DC1258" w:rsidP="00740E82">
            <w:pPr>
              <w:jc w:val="center"/>
              <w:rPr>
                <w:sz w:val="16"/>
                <w:szCs w:val="16"/>
              </w:rPr>
            </w:pPr>
            <w:r>
              <w:rPr>
                <w:sz w:val="16"/>
                <w:szCs w:val="16"/>
              </w:rPr>
              <w:t>-0.072***</w:t>
            </w:r>
          </w:p>
          <w:p w14:paraId="4F19C180" w14:textId="202660F8" w:rsidR="00DC1258" w:rsidRPr="00AE58C7" w:rsidRDefault="00DC1258" w:rsidP="00740E82">
            <w:pPr>
              <w:jc w:val="center"/>
              <w:rPr>
                <w:sz w:val="16"/>
                <w:szCs w:val="16"/>
              </w:rPr>
            </w:pPr>
            <w:r>
              <w:rPr>
                <w:sz w:val="16"/>
                <w:szCs w:val="16"/>
              </w:rPr>
              <w:t>(0.014)</w:t>
            </w:r>
          </w:p>
        </w:tc>
      </w:tr>
      <w:tr w:rsidR="00740E82" w:rsidRPr="00AE58C7" w14:paraId="18A0D076" w14:textId="77777777" w:rsidTr="00F449BB">
        <w:tc>
          <w:tcPr>
            <w:tcW w:w="2740" w:type="dxa"/>
            <w:tcBorders>
              <w:top w:val="single" w:sz="4" w:space="0" w:color="auto"/>
            </w:tcBorders>
            <w:vAlign w:val="center"/>
          </w:tcPr>
          <w:p w14:paraId="53AB1766" w14:textId="77777777" w:rsidR="00740E82" w:rsidRPr="00AE58C7" w:rsidRDefault="00740E82" w:rsidP="00740E82">
            <w:pPr>
              <w:rPr>
                <w:sz w:val="16"/>
                <w:szCs w:val="16"/>
                <w:vertAlign w:val="superscript"/>
              </w:rPr>
            </w:pPr>
            <w:r w:rsidRPr="00AE58C7">
              <w:rPr>
                <w:sz w:val="16"/>
                <w:szCs w:val="16"/>
              </w:rPr>
              <w:t>Pseudo R</w:t>
            </w:r>
            <w:r w:rsidRPr="00AE58C7">
              <w:rPr>
                <w:sz w:val="16"/>
                <w:szCs w:val="16"/>
                <w:vertAlign w:val="superscript"/>
              </w:rPr>
              <w:t>2</w:t>
            </w:r>
          </w:p>
        </w:tc>
        <w:tc>
          <w:tcPr>
            <w:tcW w:w="1571" w:type="dxa"/>
            <w:tcBorders>
              <w:top w:val="single" w:sz="4" w:space="0" w:color="auto"/>
            </w:tcBorders>
            <w:vAlign w:val="center"/>
          </w:tcPr>
          <w:p w14:paraId="65AD8695" w14:textId="170E9DC3" w:rsidR="00740E82" w:rsidRPr="00AE58C7" w:rsidRDefault="00740E82" w:rsidP="00740E82">
            <w:pPr>
              <w:jc w:val="center"/>
              <w:rPr>
                <w:sz w:val="16"/>
                <w:szCs w:val="16"/>
              </w:rPr>
            </w:pPr>
            <w:r>
              <w:rPr>
                <w:sz w:val="16"/>
                <w:szCs w:val="16"/>
              </w:rPr>
              <w:t>0.172</w:t>
            </w:r>
          </w:p>
        </w:tc>
        <w:tc>
          <w:tcPr>
            <w:tcW w:w="1572" w:type="dxa"/>
            <w:gridSpan w:val="2"/>
            <w:tcBorders>
              <w:top w:val="single" w:sz="4" w:space="0" w:color="auto"/>
              <w:right w:val="single" w:sz="4" w:space="0" w:color="auto"/>
            </w:tcBorders>
            <w:vAlign w:val="center"/>
          </w:tcPr>
          <w:p w14:paraId="4D10FCDC" w14:textId="193C3B86" w:rsidR="00740E82" w:rsidRPr="00AE58C7" w:rsidRDefault="00740E82" w:rsidP="00740E82">
            <w:pPr>
              <w:jc w:val="center"/>
              <w:rPr>
                <w:sz w:val="16"/>
                <w:szCs w:val="16"/>
              </w:rPr>
            </w:pPr>
            <w:r>
              <w:rPr>
                <w:sz w:val="16"/>
                <w:szCs w:val="16"/>
              </w:rPr>
              <w:t>0.186</w:t>
            </w:r>
          </w:p>
        </w:tc>
        <w:tc>
          <w:tcPr>
            <w:tcW w:w="1571" w:type="dxa"/>
            <w:tcBorders>
              <w:top w:val="single" w:sz="4" w:space="0" w:color="auto"/>
              <w:left w:val="single" w:sz="4" w:space="0" w:color="auto"/>
            </w:tcBorders>
          </w:tcPr>
          <w:p w14:paraId="1FC171FE" w14:textId="238A543B" w:rsidR="00740E82" w:rsidRPr="00AE58C7" w:rsidRDefault="00AE2EC2" w:rsidP="00740E82">
            <w:pPr>
              <w:jc w:val="center"/>
              <w:rPr>
                <w:sz w:val="16"/>
                <w:szCs w:val="16"/>
              </w:rPr>
            </w:pPr>
            <w:r>
              <w:rPr>
                <w:sz w:val="16"/>
                <w:szCs w:val="16"/>
              </w:rPr>
              <w:t>0.124</w:t>
            </w:r>
          </w:p>
        </w:tc>
        <w:tc>
          <w:tcPr>
            <w:tcW w:w="1572" w:type="dxa"/>
            <w:tcBorders>
              <w:top w:val="single" w:sz="4" w:space="0" w:color="auto"/>
            </w:tcBorders>
          </w:tcPr>
          <w:p w14:paraId="5B3EF098" w14:textId="366595D7" w:rsidR="00740E82" w:rsidRPr="00AE58C7" w:rsidRDefault="002002FC" w:rsidP="00740E82">
            <w:pPr>
              <w:jc w:val="center"/>
              <w:rPr>
                <w:sz w:val="16"/>
                <w:szCs w:val="16"/>
              </w:rPr>
            </w:pPr>
            <w:r>
              <w:rPr>
                <w:sz w:val="16"/>
                <w:szCs w:val="16"/>
              </w:rPr>
              <w:t>0.144</w:t>
            </w:r>
          </w:p>
        </w:tc>
      </w:tr>
      <w:tr w:rsidR="00740E82" w:rsidRPr="00AE58C7" w14:paraId="78D4F1AD" w14:textId="77777777" w:rsidTr="00F449BB">
        <w:tc>
          <w:tcPr>
            <w:tcW w:w="2740" w:type="dxa"/>
            <w:vAlign w:val="center"/>
          </w:tcPr>
          <w:p w14:paraId="6C69FF27" w14:textId="77777777" w:rsidR="00740E82" w:rsidRPr="00AE58C7" w:rsidRDefault="00740E82" w:rsidP="00740E82">
            <w:pPr>
              <w:rPr>
                <w:sz w:val="16"/>
                <w:szCs w:val="16"/>
              </w:rPr>
            </w:pPr>
            <w:r w:rsidRPr="00AE58C7">
              <w:rPr>
                <w:sz w:val="16"/>
                <w:szCs w:val="16"/>
              </w:rPr>
              <w:t>Log-likelihood</w:t>
            </w:r>
          </w:p>
        </w:tc>
        <w:tc>
          <w:tcPr>
            <w:tcW w:w="1571" w:type="dxa"/>
            <w:vAlign w:val="center"/>
          </w:tcPr>
          <w:p w14:paraId="396E7587" w14:textId="2B0C22F0" w:rsidR="00740E82" w:rsidRPr="00AE58C7" w:rsidRDefault="00740E82" w:rsidP="00740E82">
            <w:pPr>
              <w:jc w:val="center"/>
              <w:rPr>
                <w:sz w:val="16"/>
                <w:szCs w:val="16"/>
              </w:rPr>
            </w:pPr>
            <w:r>
              <w:rPr>
                <w:sz w:val="16"/>
                <w:szCs w:val="16"/>
              </w:rPr>
              <w:t>-2556.1</w:t>
            </w:r>
          </w:p>
        </w:tc>
        <w:tc>
          <w:tcPr>
            <w:tcW w:w="1572" w:type="dxa"/>
            <w:gridSpan w:val="2"/>
            <w:tcBorders>
              <w:right w:val="single" w:sz="4" w:space="0" w:color="auto"/>
            </w:tcBorders>
            <w:vAlign w:val="center"/>
          </w:tcPr>
          <w:p w14:paraId="5D9F8758" w14:textId="36C4373B" w:rsidR="00740E82" w:rsidRPr="00AE58C7" w:rsidRDefault="00740E82" w:rsidP="00740E82">
            <w:pPr>
              <w:jc w:val="center"/>
              <w:rPr>
                <w:sz w:val="16"/>
                <w:szCs w:val="16"/>
              </w:rPr>
            </w:pPr>
            <w:r>
              <w:rPr>
                <w:sz w:val="16"/>
                <w:szCs w:val="16"/>
              </w:rPr>
              <w:t>-2512.4</w:t>
            </w:r>
          </w:p>
        </w:tc>
        <w:tc>
          <w:tcPr>
            <w:tcW w:w="1571" w:type="dxa"/>
            <w:tcBorders>
              <w:left w:val="single" w:sz="4" w:space="0" w:color="auto"/>
            </w:tcBorders>
          </w:tcPr>
          <w:p w14:paraId="4C1829DD" w14:textId="25D055F6" w:rsidR="00740E82" w:rsidRPr="00AE58C7" w:rsidRDefault="00AE2EC2" w:rsidP="00740E82">
            <w:pPr>
              <w:jc w:val="center"/>
              <w:rPr>
                <w:sz w:val="16"/>
                <w:szCs w:val="16"/>
              </w:rPr>
            </w:pPr>
            <w:r>
              <w:rPr>
                <w:sz w:val="16"/>
                <w:szCs w:val="16"/>
              </w:rPr>
              <w:t>-3635.6</w:t>
            </w:r>
          </w:p>
        </w:tc>
        <w:tc>
          <w:tcPr>
            <w:tcW w:w="1572" w:type="dxa"/>
          </w:tcPr>
          <w:p w14:paraId="560AD688" w14:textId="0BB427D8" w:rsidR="00740E82" w:rsidRPr="00AE58C7" w:rsidRDefault="002002FC" w:rsidP="00740E82">
            <w:pPr>
              <w:jc w:val="center"/>
              <w:rPr>
                <w:sz w:val="16"/>
                <w:szCs w:val="16"/>
              </w:rPr>
            </w:pPr>
            <w:r>
              <w:rPr>
                <w:sz w:val="16"/>
                <w:szCs w:val="16"/>
              </w:rPr>
              <w:t>-3553.6</w:t>
            </w:r>
          </w:p>
        </w:tc>
      </w:tr>
      <w:tr w:rsidR="00740E82" w:rsidRPr="00AE58C7" w14:paraId="2C4E9751" w14:textId="77777777" w:rsidTr="00F449BB">
        <w:tc>
          <w:tcPr>
            <w:tcW w:w="2740" w:type="dxa"/>
            <w:tcBorders>
              <w:bottom w:val="single" w:sz="4" w:space="0" w:color="auto"/>
            </w:tcBorders>
            <w:vAlign w:val="center"/>
          </w:tcPr>
          <w:p w14:paraId="1C48649F" w14:textId="77777777" w:rsidR="00740E82" w:rsidRPr="00AE58C7" w:rsidRDefault="00740E82" w:rsidP="00740E82">
            <w:pPr>
              <w:rPr>
                <w:sz w:val="16"/>
                <w:szCs w:val="16"/>
              </w:rPr>
            </w:pPr>
            <w:r w:rsidRPr="00AE58C7">
              <w:rPr>
                <w:sz w:val="16"/>
                <w:szCs w:val="16"/>
              </w:rPr>
              <w:t>N</w:t>
            </w:r>
          </w:p>
        </w:tc>
        <w:tc>
          <w:tcPr>
            <w:tcW w:w="1571" w:type="dxa"/>
            <w:tcBorders>
              <w:bottom w:val="single" w:sz="4" w:space="0" w:color="auto"/>
            </w:tcBorders>
            <w:vAlign w:val="center"/>
          </w:tcPr>
          <w:p w14:paraId="2048FB75" w14:textId="72E542F0" w:rsidR="00740E82" w:rsidRPr="00AE58C7" w:rsidRDefault="00740E82" w:rsidP="00740E82">
            <w:pPr>
              <w:jc w:val="center"/>
              <w:rPr>
                <w:sz w:val="16"/>
                <w:szCs w:val="16"/>
              </w:rPr>
            </w:pPr>
            <w:r>
              <w:rPr>
                <w:sz w:val="16"/>
                <w:szCs w:val="16"/>
              </w:rPr>
              <w:t>7306</w:t>
            </w:r>
          </w:p>
        </w:tc>
        <w:tc>
          <w:tcPr>
            <w:tcW w:w="1572" w:type="dxa"/>
            <w:gridSpan w:val="2"/>
            <w:tcBorders>
              <w:bottom w:val="single" w:sz="4" w:space="0" w:color="auto"/>
              <w:right w:val="single" w:sz="4" w:space="0" w:color="auto"/>
            </w:tcBorders>
            <w:vAlign w:val="center"/>
          </w:tcPr>
          <w:p w14:paraId="2AE38D39" w14:textId="0BA0AFB8" w:rsidR="00740E82" w:rsidRPr="00AE58C7" w:rsidRDefault="00740E82" w:rsidP="00740E82">
            <w:pPr>
              <w:jc w:val="center"/>
              <w:rPr>
                <w:sz w:val="16"/>
                <w:szCs w:val="16"/>
              </w:rPr>
            </w:pPr>
            <w:r>
              <w:rPr>
                <w:sz w:val="16"/>
                <w:szCs w:val="16"/>
              </w:rPr>
              <w:t>7306</w:t>
            </w:r>
          </w:p>
        </w:tc>
        <w:tc>
          <w:tcPr>
            <w:tcW w:w="1571" w:type="dxa"/>
            <w:tcBorders>
              <w:left w:val="single" w:sz="4" w:space="0" w:color="auto"/>
              <w:bottom w:val="single" w:sz="4" w:space="0" w:color="auto"/>
            </w:tcBorders>
          </w:tcPr>
          <w:p w14:paraId="76AD95C0" w14:textId="0048BDC3" w:rsidR="00740E82" w:rsidRPr="00AE58C7" w:rsidRDefault="00AE2EC2" w:rsidP="00740E82">
            <w:pPr>
              <w:jc w:val="center"/>
              <w:rPr>
                <w:sz w:val="16"/>
                <w:szCs w:val="16"/>
              </w:rPr>
            </w:pPr>
            <w:r>
              <w:rPr>
                <w:sz w:val="16"/>
                <w:szCs w:val="16"/>
              </w:rPr>
              <w:t>7306</w:t>
            </w:r>
          </w:p>
        </w:tc>
        <w:tc>
          <w:tcPr>
            <w:tcW w:w="1572" w:type="dxa"/>
            <w:tcBorders>
              <w:bottom w:val="single" w:sz="4" w:space="0" w:color="auto"/>
            </w:tcBorders>
          </w:tcPr>
          <w:p w14:paraId="7C56E2FA" w14:textId="5B0BE811" w:rsidR="00740E82" w:rsidRPr="00AE58C7" w:rsidRDefault="002002FC" w:rsidP="00740E82">
            <w:pPr>
              <w:jc w:val="center"/>
              <w:rPr>
                <w:sz w:val="16"/>
                <w:szCs w:val="16"/>
              </w:rPr>
            </w:pPr>
            <w:r>
              <w:rPr>
                <w:sz w:val="16"/>
                <w:szCs w:val="16"/>
              </w:rPr>
              <w:t>7306</w:t>
            </w:r>
          </w:p>
        </w:tc>
      </w:tr>
      <w:tr w:rsidR="00740E82" w:rsidRPr="00AE58C7" w14:paraId="68457BA3" w14:textId="77777777" w:rsidTr="00F449BB">
        <w:tc>
          <w:tcPr>
            <w:tcW w:w="9026" w:type="dxa"/>
            <w:gridSpan w:val="6"/>
            <w:tcBorders>
              <w:top w:val="single" w:sz="4" w:space="0" w:color="auto"/>
              <w:bottom w:val="single" w:sz="4" w:space="0" w:color="auto"/>
            </w:tcBorders>
          </w:tcPr>
          <w:p w14:paraId="5E0FDA10" w14:textId="77777777" w:rsidR="00740E82" w:rsidRPr="007B3354" w:rsidRDefault="00740E82" w:rsidP="00740E82">
            <w:pPr>
              <w:rPr>
                <w:sz w:val="14"/>
                <w:szCs w:val="14"/>
              </w:rPr>
            </w:pPr>
            <w:r w:rsidRPr="007B3354">
              <w:rPr>
                <w:sz w:val="14"/>
                <w:szCs w:val="14"/>
              </w:rPr>
              <w:t>Notes: Statistical significance denoted by p-values: +p&lt;0.1, *p&lt;0.05, **p&lt;0.01, ***p&lt;0.001.</w:t>
            </w:r>
          </w:p>
          <w:p w14:paraId="212D7746" w14:textId="77777777" w:rsidR="00740E82" w:rsidRPr="00AE58C7" w:rsidRDefault="00740E82" w:rsidP="00740E82">
            <w:pPr>
              <w:rPr>
                <w:sz w:val="16"/>
                <w:szCs w:val="16"/>
              </w:rPr>
            </w:pPr>
            <w:r>
              <w:rPr>
                <w:sz w:val="14"/>
                <w:szCs w:val="14"/>
              </w:rPr>
              <w:t>Estimates are presented as average marginal effects</w:t>
            </w:r>
            <w:r w:rsidRPr="007B3354">
              <w:rPr>
                <w:sz w:val="14"/>
                <w:szCs w:val="14"/>
              </w:rPr>
              <w:t>. Robust standard errors in parentheses.</w:t>
            </w:r>
            <w:r>
              <w:rPr>
                <w:sz w:val="16"/>
                <w:szCs w:val="16"/>
              </w:rPr>
              <w:t xml:space="preserve"> </w:t>
            </w:r>
          </w:p>
        </w:tc>
      </w:tr>
    </w:tbl>
    <w:p w14:paraId="114258A8" w14:textId="77777777" w:rsidR="006037E5" w:rsidRDefault="006037E5"/>
    <w:p w14:paraId="17A76AB4" w14:textId="77777777" w:rsidR="002E3645" w:rsidRDefault="002E3645"/>
    <w:p w14:paraId="397181BD" w14:textId="77777777" w:rsidR="002E3645" w:rsidRDefault="002E3645">
      <w:pPr>
        <w:rPr>
          <w:b/>
          <w:bCs/>
        </w:rPr>
      </w:pPr>
      <w:r>
        <w:rPr>
          <w:b/>
          <w:bCs/>
        </w:rPr>
        <w:br w:type="page"/>
      </w:r>
    </w:p>
    <w:p w14:paraId="6C738412" w14:textId="6B65441C" w:rsidR="00A94A10" w:rsidRPr="00137259" w:rsidRDefault="00A94A10" w:rsidP="00A94A10">
      <w:pPr>
        <w:spacing w:line="360" w:lineRule="auto"/>
        <w:rPr>
          <w:b/>
          <w:bCs/>
        </w:rPr>
      </w:pPr>
      <w:r>
        <w:rPr>
          <w:b/>
          <w:bCs/>
        </w:rPr>
        <w:t>Table A-4: Estimation results on loneliness, 2023</w:t>
      </w:r>
    </w:p>
    <w:tbl>
      <w:tblPr>
        <w:tblStyle w:val="TableGrid"/>
        <w:tblW w:w="1058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3"/>
        <w:gridCol w:w="1773"/>
        <w:gridCol w:w="1984"/>
        <w:gridCol w:w="1560"/>
        <w:gridCol w:w="1557"/>
        <w:gridCol w:w="239"/>
        <w:gridCol w:w="1560"/>
      </w:tblGrid>
      <w:tr w:rsidR="00A94A10" w:rsidRPr="00915CC9" w14:paraId="0AAC6E99" w14:textId="77777777" w:rsidTr="00BE68EC">
        <w:trPr>
          <w:gridAfter w:val="1"/>
          <w:wAfter w:w="1560" w:type="dxa"/>
        </w:trPr>
        <w:tc>
          <w:tcPr>
            <w:tcW w:w="1913" w:type="dxa"/>
            <w:tcBorders>
              <w:top w:val="single" w:sz="4" w:space="0" w:color="auto"/>
              <w:bottom w:val="single" w:sz="4" w:space="0" w:color="auto"/>
            </w:tcBorders>
          </w:tcPr>
          <w:p w14:paraId="269E9F8D" w14:textId="77777777" w:rsidR="00A94A10" w:rsidRPr="00915CC9" w:rsidRDefault="00A94A10" w:rsidP="00BE68EC">
            <w:pPr>
              <w:rPr>
                <w:b/>
                <w:bCs/>
                <w:sz w:val="20"/>
                <w:szCs w:val="20"/>
              </w:rPr>
            </w:pPr>
          </w:p>
        </w:tc>
        <w:tc>
          <w:tcPr>
            <w:tcW w:w="3757" w:type="dxa"/>
            <w:gridSpan w:val="2"/>
            <w:tcBorders>
              <w:top w:val="single" w:sz="4" w:space="0" w:color="auto"/>
              <w:bottom w:val="single" w:sz="4" w:space="0" w:color="auto"/>
              <w:right w:val="single" w:sz="4" w:space="0" w:color="auto"/>
            </w:tcBorders>
            <w:vAlign w:val="center"/>
          </w:tcPr>
          <w:p w14:paraId="2E5BA530" w14:textId="77777777" w:rsidR="00A94A10" w:rsidRPr="00146C98" w:rsidRDefault="00A94A10" w:rsidP="00BE68EC">
            <w:pPr>
              <w:jc w:val="center"/>
              <w:rPr>
                <w:sz w:val="20"/>
                <w:szCs w:val="20"/>
              </w:rPr>
            </w:pPr>
            <w:r w:rsidRPr="00146C98">
              <w:rPr>
                <w:sz w:val="20"/>
                <w:szCs w:val="20"/>
              </w:rPr>
              <w:t>Often/always lonely</w:t>
            </w:r>
          </w:p>
        </w:tc>
        <w:tc>
          <w:tcPr>
            <w:tcW w:w="3117" w:type="dxa"/>
            <w:gridSpan w:val="2"/>
            <w:tcBorders>
              <w:top w:val="single" w:sz="4" w:space="0" w:color="auto"/>
              <w:left w:val="single" w:sz="4" w:space="0" w:color="auto"/>
              <w:bottom w:val="single" w:sz="4" w:space="0" w:color="auto"/>
            </w:tcBorders>
            <w:vAlign w:val="center"/>
          </w:tcPr>
          <w:p w14:paraId="0CDCE86D" w14:textId="77777777" w:rsidR="00A94A10" w:rsidRPr="00146C98" w:rsidRDefault="00A94A10" w:rsidP="00BE68EC">
            <w:pPr>
              <w:jc w:val="center"/>
              <w:rPr>
                <w:sz w:val="20"/>
                <w:szCs w:val="20"/>
              </w:rPr>
            </w:pPr>
            <w:r w:rsidRPr="00146C98">
              <w:rPr>
                <w:sz w:val="20"/>
                <w:szCs w:val="20"/>
              </w:rPr>
              <w:t>Sometimes/often/always lonely</w:t>
            </w:r>
          </w:p>
        </w:tc>
        <w:tc>
          <w:tcPr>
            <w:tcW w:w="239" w:type="dxa"/>
            <w:tcBorders>
              <w:top w:val="single" w:sz="4" w:space="0" w:color="auto"/>
              <w:bottom w:val="single" w:sz="4" w:space="0" w:color="auto"/>
            </w:tcBorders>
          </w:tcPr>
          <w:p w14:paraId="11CD43BD" w14:textId="77777777" w:rsidR="00A94A10" w:rsidRDefault="00A94A10" w:rsidP="00BE68EC">
            <w:pPr>
              <w:jc w:val="center"/>
              <w:rPr>
                <w:b/>
                <w:bCs/>
                <w:sz w:val="20"/>
                <w:szCs w:val="20"/>
              </w:rPr>
            </w:pPr>
          </w:p>
        </w:tc>
      </w:tr>
      <w:tr w:rsidR="00A94A10" w:rsidRPr="00636169" w14:paraId="2706FDCC" w14:textId="77777777" w:rsidTr="00BE68EC">
        <w:trPr>
          <w:gridAfter w:val="1"/>
          <w:wAfter w:w="1560" w:type="dxa"/>
        </w:trPr>
        <w:tc>
          <w:tcPr>
            <w:tcW w:w="1913" w:type="dxa"/>
            <w:tcBorders>
              <w:top w:val="single" w:sz="4" w:space="0" w:color="auto"/>
              <w:bottom w:val="single" w:sz="4" w:space="0" w:color="auto"/>
            </w:tcBorders>
          </w:tcPr>
          <w:p w14:paraId="141B9B42" w14:textId="77777777" w:rsidR="00A94A10" w:rsidRPr="00915CC9" w:rsidRDefault="00A94A10" w:rsidP="00BE68EC">
            <w:pPr>
              <w:rPr>
                <w:b/>
                <w:bCs/>
                <w:sz w:val="20"/>
                <w:szCs w:val="20"/>
              </w:rPr>
            </w:pPr>
          </w:p>
        </w:tc>
        <w:tc>
          <w:tcPr>
            <w:tcW w:w="1773" w:type="dxa"/>
            <w:tcBorders>
              <w:top w:val="single" w:sz="4" w:space="0" w:color="auto"/>
              <w:bottom w:val="single" w:sz="4" w:space="0" w:color="auto"/>
            </w:tcBorders>
            <w:vAlign w:val="center"/>
          </w:tcPr>
          <w:p w14:paraId="021FE4E2" w14:textId="77777777" w:rsidR="00A94A10" w:rsidRPr="00146C98" w:rsidRDefault="00A94A10" w:rsidP="00BE68EC">
            <w:pPr>
              <w:jc w:val="center"/>
              <w:rPr>
                <w:sz w:val="16"/>
                <w:szCs w:val="16"/>
              </w:rPr>
            </w:pPr>
            <w:r w:rsidRPr="00DC0D2A">
              <w:rPr>
                <w:sz w:val="16"/>
                <w:szCs w:val="16"/>
              </w:rPr>
              <w:t>(1)</w:t>
            </w:r>
          </w:p>
        </w:tc>
        <w:tc>
          <w:tcPr>
            <w:tcW w:w="1984" w:type="dxa"/>
            <w:tcBorders>
              <w:top w:val="single" w:sz="4" w:space="0" w:color="auto"/>
              <w:bottom w:val="single" w:sz="4" w:space="0" w:color="auto"/>
              <w:right w:val="single" w:sz="4" w:space="0" w:color="auto"/>
            </w:tcBorders>
            <w:vAlign w:val="center"/>
          </w:tcPr>
          <w:p w14:paraId="1C9C6488" w14:textId="77777777" w:rsidR="00A94A10" w:rsidRPr="00636169" w:rsidRDefault="00A94A10" w:rsidP="00BE68EC">
            <w:pPr>
              <w:jc w:val="center"/>
              <w:rPr>
                <w:sz w:val="16"/>
                <w:szCs w:val="16"/>
              </w:rPr>
            </w:pPr>
            <w:r w:rsidRPr="00636169">
              <w:rPr>
                <w:sz w:val="16"/>
                <w:szCs w:val="16"/>
              </w:rPr>
              <w:t>(2)</w:t>
            </w:r>
          </w:p>
        </w:tc>
        <w:tc>
          <w:tcPr>
            <w:tcW w:w="1560" w:type="dxa"/>
            <w:tcBorders>
              <w:top w:val="single" w:sz="4" w:space="0" w:color="auto"/>
              <w:left w:val="single" w:sz="4" w:space="0" w:color="auto"/>
              <w:bottom w:val="single" w:sz="4" w:space="0" w:color="auto"/>
            </w:tcBorders>
            <w:vAlign w:val="center"/>
          </w:tcPr>
          <w:p w14:paraId="36C97240" w14:textId="77777777" w:rsidR="00A94A10" w:rsidRPr="00636169" w:rsidRDefault="00A94A10" w:rsidP="00BE68EC">
            <w:pPr>
              <w:jc w:val="center"/>
              <w:rPr>
                <w:sz w:val="16"/>
                <w:szCs w:val="16"/>
              </w:rPr>
            </w:pPr>
            <w:r w:rsidRPr="00EC4D87">
              <w:rPr>
                <w:sz w:val="16"/>
                <w:szCs w:val="16"/>
              </w:rPr>
              <w:t>(1)</w:t>
            </w:r>
          </w:p>
        </w:tc>
        <w:tc>
          <w:tcPr>
            <w:tcW w:w="1557" w:type="dxa"/>
            <w:tcBorders>
              <w:top w:val="single" w:sz="4" w:space="0" w:color="auto"/>
              <w:bottom w:val="single" w:sz="4" w:space="0" w:color="auto"/>
            </w:tcBorders>
            <w:vAlign w:val="center"/>
          </w:tcPr>
          <w:p w14:paraId="6930DE9C" w14:textId="77777777" w:rsidR="00A94A10" w:rsidRPr="00636169" w:rsidRDefault="00A94A10" w:rsidP="00BE68EC">
            <w:pPr>
              <w:jc w:val="center"/>
              <w:rPr>
                <w:sz w:val="16"/>
                <w:szCs w:val="16"/>
              </w:rPr>
            </w:pPr>
            <w:r w:rsidRPr="00636169">
              <w:rPr>
                <w:sz w:val="16"/>
                <w:szCs w:val="16"/>
              </w:rPr>
              <w:t>(2)</w:t>
            </w:r>
          </w:p>
        </w:tc>
        <w:tc>
          <w:tcPr>
            <w:tcW w:w="239" w:type="dxa"/>
            <w:tcBorders>
              <w:top w:val="single" w:sz="4" w:space="0" w:color="auto"/>
              <w:bottom w:val="single" w:sz="4" w:space="0" w:color="auto"/>
            </w:tcBorders>
            <w:vAlign w:val="center"/>
          </w:tcPr>
          <w:p w14:paraId="12D8ECF4" w14:textId="77777777" w:rsidR="00A94A10" w:rsidRPr="00636169" w:rsidRDefault="00A94A10" w:rsidP="00BE68EC">
            <w:pPr>
              <w:jc w:val="center"/>
              <w:rPr>
                <w:b/>
                <w:bCs/>
                <w:sz w:val="20"/>
                <w:szCs w:val="20"/>
              </w:rPr>
            </w:pPr>
          </w:p>
        </w:tc>
      </w:tr>
      <w:tr w:rsidR="00A94A10" w:rsidRPr="00636169" w14:paraId="3BDBAFAA" w14:textId="77777777" w:rsidTr="00BE68EC">
        <w:trPr>
          <w:gridAfter w:val="1"/>
          <w:wAfter w:w="1560" w:type="dxa"/>
        </w:trPr>
        <w:tc>
          <w:tcPr>
            <w:tcW w:w="1913" w:type="dxa"/>
            <w:tcBorders>
              <w:top w:val="single" w:sz="4" w:space="0" w:color="auto"/>
              <w:bottom w:val="nil"/>
            </w:tcBorders>
            <w:vAlign w:val="center"/>
          </w:tcPr>
          <w:p w14:paraId="52433494" w14:textId="77777777" w:rsidR="00A94A10" w:rsidRPr="009C7364" w:rsidRDefault="00A94A10" w:rsidP="00BE68EC">
            <w:pPr>
              <w:rPr>
                <w:b/>
                <w:bCs/>
                <w:sz w:val="15"/>
                <w:szCs w:val="15"/>
              </w:rPr>
            </w:pPr>
            <w:r w:rsidRPr="009C7364">
              <w:rPr>
                <w:sz w:val="15"/>
                <w:szCs w:val="15"/>
              </w:rPr>
              <w:t>Female</w:t>
            </w:r>
          </w:p>
        </w:tc>
        <w:tc>
          <w:tcPr>
            <w:tcW w:w="1773" w:type="dxa"/>
            <w:tcBorders>
              <w:top w:val="single" w:sz="4" w:space="0" w:color="auto"/>
              <w:bottom w:val="nil"/>
            </w:tcBorders>
            <w:vAlign w:val="center"/>
          </w:tcPr>
          <w:p w14:paraId="7744F7D1" w14:textId="77777777" w:rsidR="00A94A10" w:rsidRPr="009C7364" w:rsidRDefault="00A94A10" w:rsidP="00BE68EC">
            <w:pPr>
              <w:jc w:val="center"/>
              <w:rPr>
                <w:sz w:val="15"/>
                <w:szCs w:val="15"/>
              </w:rPr>
            </w:pPr>
            <w:r w:rsidRPr="009C7364">
              <w:rPr>
                <w:sz w:val="15"/>
                <w:szCs w:val="15"/>
              </w:rPr>
              <w:t>0.00</w:t>
            </w:r>
            <w:r>
              <w:rPr>
                <w:sz w:val="15"/>
                <w:szCs w:val="15"/>
              </w:rPr>
              <w:t>5</w:t>
            </w:r>
          </w:p>
          <w:p w14:paraId="2BE3F5E7" w14:textId="77777777" w:rsidR="00A94A10" w:rsidRPr="009C7364" w:rsidRDefault="00A94A10" w:rsidP="00BE68EC">
            <w:pPr>
              <w:jc w:val="center"/>
              <w:rPr>
                <w:sz w:val="15"/>
                <w:szCs w:val="15"/>
              </w:rPr>
            </w:pPr>
            <w:r w:rsidRPr="009C7364">
              <w:rPr>
                <w:sz w:val="15"/>
                <w:szCs w:val="15"/>
              </w:rPr>
              <w:t>(0.006)</w:t>
            </w:r>
          </w:p>
        </w:tc>
        <w:tc>
          <w:tcPr>
            <w:tcW w:w="1984" w:type="dxa"/>
            <w:tcBorders>
              <w:top w:val="single" w:sz="4" w:space="0" w:color="auto"/>
              <w:bottom w:val="nil"/>
              <w:right w:val="single" w:sz="4" w:space="0" w:color="auto"/>
            </w:tcBorders>
            <w:vAlign w:val="center"/>
          </w:tcPr>
          <w:p w14:paraId="635D64D3" w14:textId="77777777" w:rsidR="00A94A10" w:rsidRPr="00636169" w:rsidRDefault="00A94A10" w:rsidP="00BE68EC">
            <w:pPr>
              <w:jc w:val="center"/>
              <w:rPr>
                <w:sz w:val="15"/>
                <w:szCs w:val="15"/>
              </w:rPr>
            </w:pPr>
            <w:r w:rsidRPr="00636169">
              <w:rPr>
                <w:sz w:val="15"/>
                <w:szCs w:val="15"/>
              </w:rPr>
              <w:t>-0.002</w:t>
            </w:r>
          </w:p>
          <w:p w14:paraId="10F1DE8D" w14:textId="77777777" w:rsidR="00A94A10" w:rsidRPr="00636169" w:rsidRDefault="00A94A10" w:rsidP="00BE68EC">
            <w:pPr>
              <w:jc w:val="center"/>
              <w:rPr>
                <w:sz w:val="15"/>
                <w:szCs w:val="15"/>
              </w:rPr>
            </w:pPr>
            <w:r w:rsidRPr="00636169">
              <w:rPr>
                <w:sz w:val="15"/>
                <w:szCs w:val="15"/>
              </w:rPr>
              <w:t>(0.005)</w:t>
            </w:r>
          </w:p>
        </w:tc>
        <w:tc>
          <w:tcPr>
            <w:tcW w:w="1560" w:type="dxa"/>
            <w:tcBorders>
              <w:top w:val="single" w:sz="4" w:space="0" w:color="auto"/>
              <w:left w:val="single" w:sz="4" w:space="0" w:color="auto"/>
              <w:bottom w:val="nil"/>
            </w:tcBorders>
            <w:vAlign w:val="center"/>
          </w:tcPr>
          <w:p w14:paraId="29F39048" w14:textId="77777777" w:rsidR="00A94A10" w:rsidRPr="00636169" w:rsidRDefault="00A94A10" w:rsidP="00BE68EC">
            <w:pPr>
              <w:jc w:val="center"/>
              <w:rPr>
                <w:sz w:val="15"/>
                <w:szCs w:val="15"/>
              </w:rPr>
            </w:pPr>
            <w:r w:rsidRPr="00636169">
              <w:rPr>
                <w:sz w:val="15"/>
                <w:szCs w:val="15"/>
              </w:rPr>
              <w:t>0.009</w:t>
            </w:r>
          </w:p>
          <w:p w14:paraId="7FF2D173" w14:textId="77777777" w:rsidR="00A94A10" w:rsidRPr="00636169" w:rsidRDefault="00A94A10" w:rsidP="00BE68EC">
            <w:pPr>
              <w:jc w:val="center"/>
              <w:rPr>
                <w:sz w:val="15"/>
                <w:szCs w:val="15"/>
              </w:rPr>
            </w:pPr>
            <w:r w:rsidRPr="00636169">
              <w:rPr>
                <w:sz w:val="15"/>
                <w:szCs w:val="15"/>
              </w:rPr>
              <w:t>(0.010)</w:t>
            </w:r>
          </w:p>
        </w:tc>
        <w:tc>
          <w:tcPr>
            <w:tcW w:w="1557" w:type="dxa"/>
            <w:tcBorders>
              <w:top w:val="single" w:sz="4" w:space="0" w:color="auto"/>
              <w:bottom w:val="nil"/>
            </w:tcBorders>
            <w:vAlign w:val="center"/>
          </w:tcPr>
          <w:p w14:paraId="215A2AEE" w14:textId="77777777" w:rsidR="00A94A10" w:rsidRPr="00636169" w:rsidRDefault="00A94A10" w:rsidP="00BE68EC">
            <w:pPr>
              <w:jc w:val="center"/>
              <w:rPr>
                <w:sz w:val="15"/>
                <w:szCs w:val="15"/>
              </w:rPr>
            </w:pPr>
            <w:r>
              <w:rPr>
                <w:sz w:val="15"/>
                <w:szCs w:val="15"/>
              </w:rPr>
              <w:t>-</w:t>
            </w:r>
            <w:r w:rsidRPr="00636169">
              <w:rPr>
                <w:sz w:val="15"/>
                <w:szCs w:val="15"/>
              </w:rPr>
              <w:t>0.0</w:t>
            </w:r>
            <w:r>
              <w:rPr>
                <w:sz w:val="15"/>
                <w:szCs w:val="15"/>
              </w:rPr>
              <w:t>27</w:t>
            </w:r>
          </w:p>
          <w:p w14:paraId="1B2DB392" w14:textId="77777777" w:rsidR="00A94A10" w:rsidRPr="00636169" w:rsidRDefault="00A94A10" w:rsidP="00BE68EC">
            <w:pPr>
              <w:jc w:val="center"/>
              <w:rPr>
                <w:sz w:val="15"/>
                <w:szCs w:val="15"/>
              </w:rPr>
            </w:pPr>
            <w:r w:rsidRPr="00636169">
              <w:rPr>
                <w:sz w:val="15"/>
                <w:szCs w:val="15"/>
              </w:rPr>
              <w:t>(0.0</w:t>
            </w:r>
            <w:r>
              <w:rPr>
                <w:sz w:val="15"/>
                <w:szCs w:val="15"/>
              </w:rPr>
              <w:t>09</w:t>
            </w:r>
            <w:r w:rsidRPr="00636169">
              <w:rPr>
                <w:sz w:val="15"/>
                <w:szCs w:val="15"/>
              </w:rPr>
              <w:t>)</w:t>
            </w:r>
          </w:p>
        </w:tc>
        <w:tc>
          <w:tcPr>
            <w:tcW w:w="239" w:type="dxa"/>
            <w:tcBorders>
              <w:top w:val="single" w:sz="4" w:space="0" w:color="auto"/>
              <w:bottom w:val="nil"/>
            </w:tcBorders>
          </w:tcPr>
          <w:p w14:paraId="434EA9FA" w14:textId="77777777" w:rsidR="00A94A10" w:rsidRPr="00636169" w:rsidRDefault="00A94A10" w:rsidP="00BE68EC">
            <w:pPr>
              <w:jc w:val="center"/>
              <w:rPr>
                <w:sz w:val="16"/>
                <w:szCs w:val="16"/>
              </w:rPr>
            </w:pPr>
          </w:p>
        </w:tc>
      </w:tr>
      <w:tr w:rsidR="00A94A10" w:rsidRPr="00636169" w14:paraId="217E5999" w14:textId="77777777" w:rsidTr="00BE68EC">
        <w:trPr>
          <w:gridAfter w:val="1"/>
          <w:wAfter w:w="1560" w:type="dxa"/>
        </w:trPr>
        <w:tc>
          <w:tcPr>
            <w:tcW w:w="3686" w:type="dxa"/>
            <w:gridSpan w:val="2"/>
            <w:tcBorders>
              <w:top w:val="nil"/>
            </w:tcBorders>
            <w:vAlign w:val="center"/>
          </w:tcPr>
          <w:p w14:paraId="75EEF069" w14:textId="77777777" w:rsidR="00A94A10" w:rsidRPr="009C7364" w:rsidRDefault="00A94A10" w:rsidP="00BE68EC">
            <w:pPr>
              <w:rPr>
                <w:sz w:val="15"/>
                <w:szCs w:val="15"/>
              </w:rPr>
            </w:pPr>
            <w:r w:rsidRPr="00636169">
              <w:rPr>
                <w:i/>
                <w:iCs/>
                <w:sz w:val="15"/>
                <w:szCs w:val="15"/>
              </w:rPr>
              <w:t>Age category (Ref: 15-29 years)</w:t>
            </w:r>
          </w:p>
        </w:tc>
        <w:tc>
          <w:tcPr>
            <w:tcW w:w="1984" w:type="dxa"/>
            <w:tcBorders>
              <w:top w:val="nil"/>
              <w:right w:val="single" w:sz="4" w:space="0" w:color="auto"/>
            </w:tcBorders>
            <w:vAlign w:val="center"/>
          </w:tcPr>
          <w:p w14:paraId="6A89DC4F" w14:textId="77777777" w:rsidR="00A94A10" w:rsidRPr="00636169" w:rsidRDefault="00A94A10" w:rsidP="00BE68EC">
            <w:pPr>
              <w:jc w:val="center"/>
              <w:rPr>
                <w:sz w:val="15"/>
                <w:szCs w:val="15"/>
              </w:rPr>
            </w:pPr>
          </w:p>
        </w:tc>
        <w:tc>
          <w:tcPr>
            <w:tcW w:w="1560" w:type="dxa"/>
            <w:tcBorders>
              <w:top w:val="nil"/>
              <w:left w:val="single" w:sz="4" w:space="0" w:color="auto"/>
            </w:tcBorders>
            <w:vAlign w:val="center"/>
          </w:tcPr>
          <w:p w14:paraId="45D5BFC1" w14:textId="77777777" w:rsidR="00A94A10" w:rsidRPr="00636169" w:rsidRDefault="00A94A10" w:rsidP="00BE68EC">
            <w:pPr>
              <w:jc w:val="center"/>
              <w:rPr>
                <w:sz w:val="15"/>
                <w:szCs w:val="15"/>
              </w:rPr>
            </w:pPr>
          </w:p>
        </w:tc>
        <w:tc>
          <w:tcPr>
            <w:tcW w:w="1557" w:type="dxa"/>
            <w:tcBorders>
              <w:top w:val="nil"/>
            </w:tcBorders>
            <w:vAlign w:val="center"/>
          </w:tcPr>
          <w:p w14:paraId="342A2F06" w14:textId="77777777" w:rsidR="00A94A10" w:rsidRDefault="00A94A10" w:rsidP="00BE68EC">
            <w:pPr>
              <w:jc w:val="center"/>
              <w:rPr>
                <w:sz w:val="15"/>
                <w:szCs w:val="15"/>
              </w:rPr>
            </w:pPr>
          </w:p>
        </w:tc>
        <w:tc>
          <w:tcPr>
            <w:tcW w:w="239" w:type="dxa"/>
            <w:tcBorders>
              <w:top w:val="nil"/>
            </w:tcBorders>
          </w:tcPr>
          <w:p w14:paraId="515ABFD6" w14:textId="77777777" w:rsidR="00A94A10" w:rsidRPr="00636169" w:rsidRDefault="00A94A10" w:rsidP="00BE68EC">
            <w:pPr>
              <w:jc w:val="center"/>
              <w:rPr>
                <w:sz w:val="16"/>
                <w:szCs w:val="16"/>
              </w:rPr>
            </w:pPr>
          </w:p>
        </w:tc>
      </w:tr>
      <w:tr w:rsidR="00A94A10" w:rsidRPr="00636169" w14:paraId="267F3F66" w14:textId="77777777" w:rsidTr="00BE68EC">
        <w:trPr>
          <w:gridAfter w:val="1"/>
          <w:wAfter w:w="1560" w:type="dxa"/>
        </w:trPr>
        <w:tc>
          <w:tcPr>
            <w:tcW w:w="1913" w:type="dxa"/>
            <w:vAlign w:val="center"/>
          </w:tcPr>
          <w:p w14:paraId="074008CB" w14:textId="77777777" w:rsidR="00A94A10" w:rsidRPr="009C7364" w:rsidRDefault="00A94A10" w:rsidP="00BE68EC">
            <w:pPr>
              <w:rPr>
                <w:b/>
                <w:bCs/>
                <w:sz w:val="15"/>
                <w:szCs w:val="15"/>
              </w:rPr>
            </w:pPr>
            <w:r w:rsidRPr="009C7364">
              <w:rPr>
                <w:sz w:val="15"/>
                <w:szCs w:val="15"/>
              </w:rPr>
              <w:t xml:space="preserve"> 30-49</w:t>
            </w:r>
          </w:p>
        </w:tc>
        <w:tc>
          <w:tcPr>
            <w:tcW w:w="1773" w:type="dxa"/>
            <w:vAlign w:val="center"/>
          </w:tcPr>
          <w:p w14:paraId="3E9E0ECA" w14:textId="77777777" w:rsidR="00A94A10" w:rsidRPr="009C7364" w:rsidRDefault="00A94A10" w:rsidP="00BE68EC">
            <w:pPr>
              <w:jc w:val="center"/>
              <w:rPr>
                <w:sz w:val="15"/>
                <w:szCs w:val="15"/>
              </w:rPr>
            </w:pPr>
            <w:r w:rsidRPr="009C7364">
              <w:rPr>
                <w:sz w:val="15"/>
                <w:szCs w:val="15"/>
              </w:rPr>
              <w:t>0.003</w:t>
            </w:r>
          </w:p>
          <w:p w14:paraId="50AA3A51" w14:textId="77777777" w:rsidR="00A94A10" w:rsidRPr="009C7364" w:rsidRDefault="00A94A10" w:rsidP="00BE68EC">
            <w:pPr>
              <w:jc w:val="center"/>
              <w:rPr>
                <w:sz w:val="15"/>
                <w:szCs w:val="15"/>
              </w:rPr>
            </w:pPr>
            <w:r w:rsidRPr="009C7364">
              <w:rPr>
                <w:sz w:val="15"/>
                <w:szCs w:val="15"/>
              </w:rPr>
              <w:t>(0.010)</w:t>
            </w:r>
          </w:p>
        </w:tc>
        <w:tc>
          <w:tcPr>
            <w:tcW w:w="1984" w:type="dxa"/>
            <w:tcBorders>
              <w:right w:val="single" w:sz="4" w:space="0" w:color="auto"/>
            </w:tcBorders>
            <w:vAlign w:val="center"/>
          </w:tcPr>
          <w:p w14:paraId="2D8C1496" w14:textId="77777777" w:rsidR="00A94A10" w:rsidRPr="006A01DA" w:rsidRDefault="00A94A10" w:rsidP="00BE68EC">
            <w:pPr>
              <w:jc w:val="center"/>
              <w:rPr>
                <w:sz w:val="15"/>
                <w:szCs w:val="15"/>
              </w:rPr>
            </w:pPr>
            <w:r w:rsidRPr="006A01DA">
              <w:rPr>
                <w:sz w:val="15"/>
                <w:szCs w:val="15"/>
              </w:rPr>
              <w:t>0.004</w:t>
            </w:r>
          </w:p>
          <w:p w14:paraId="71FE8C31" w14:textId="77777777" w:rsidR="00A94A10" w:rsidRPr="006A01DA" w:rsidRDefault="00A94A10" w:rsidP="00BE68EC">
            <w:pPr>
              <w:jc w:val="center"/>
              <w:rPr>
                <w:sz w:val="15"/>
                <w:szCs w:val="15"/>
              </w:rPr>
            </w:pPr>
            <w:r w:rsidRPr="006A01DA">
              <w:rPr>
                <w:sz w:val="15"/>
                <w:szCs w:val="15"/>
              </w:rPr>
              <w:t>(0.008)</w:t>
            </w:r>
          </w:p>
        </w:tc>
        <w:tc>
          <w:tcPr>
            <w:tcW w:w="1560" w:type="dxa"/>
            <w:tcBorders>
              <w:left w:val="single" w:sz="4" w:space="0" w:color="auto"/>
            </w:tcBorders>
            <w:vAlign w:val="center"/>
          </w:tcPr>
          <w:p w14:paraId="4D551B80" w14:textId="77777777" w:rsidR="00A94A10" w:rsidRPr="006A01DA" w:rsidRDefault="00A94A10" w:rsidP="00BE68EC">
            <w:pPr>
              <w:jc w:val="center"/>
              <w:rPr>
                <w:sz w:val="15"/>
                <w:szCs w:val="15"/>
              </w:rPr>
            </w:pPr>
            <w:r w:rsidRPr="006A01DA">
              <w:rPr>
                <w:sz w:val="15"/>
                <w:szCs w:val="15"/>
              </w:rPr>
              <w:t>-0.02</w:t>
            </w:r>
            <w:r>
              <w:rPr>
                <w:sz w:val="15"/>
                <w:szCs w:val="15"/>
              </w:rPr>
              <w:t>4</w:t>
            </w:r>
          </w:p>
          <w:p w14:paraId="550CE653" w14:textId="77777777" w:rsidR="00A94A10" w:rsidRPr="006A01DA" w:rsidRDefault="00A94A10" w:rsidP="00BE68EC">
            <w:pPr>
              <w:jc w:val="center"/>
              <w:rPr>
                <w:sz w:val="15"/>
                <w:szCs w:val="15"/>
              </w:rPr>
            </w:pPr>
            <w:r w:rsidRPr="006A01DA">
              <w:rPr>
                <w:sz w:val="15"/>
                <w:szCs w:val="15"/>
              </w:rPr>
              <w:t>(0.019)</w:t>
            </w:r>
          </w:p>
        </w:tc>
        <w:tc>
          <w:tcPr>
            <w:tcW w:w="1557" w:type="dxa"/>
            <w:vAlign w:val="center"/>
          </w:tcPr>
          <w:p w14:paraId="6AECDC69" w14:textId="77777777" w:rsidR="00A94A10" w:rsidRPr="006A01DA" w:rsidRDefault="00A94A10" w:rsidP="00BE68EC">
            <w:pPr>
              <w:jc w:val="center"/>
              <w:rPr>
                <w:sz w:val="15"/>
                <w:szCs w:val="15"/>
              </w:rPr>
            </w:pPr>
            <w:r w:rsidRPr="006A01DA">
              <w:rPr>
                <w:sz w:val="15"/>
                <w:szCs w:val="15"/>
              </w:rPr>
              <w:t>-0.018</w:t>
            </w:r>
          </w:p>
          <w:p w14:paraId="1BD09551" w14:textId="77777777" w:rsidR="00A94A10" w:rsidRPr="006A01DA" w:rsidRDefault="00A94A10" w:rsidP="00BE68EC">
            <w:pPr>
              <w:jc w:val="center"/>
              <w:rPr>
                <w:sz w:val="15"/>
                <w:szCs w:val="15"/>
              </w:rPr>
            </w:pPr>
            <w:r w:rsidRPr="006A01DA">
              <w:rPr>
                <w:sz w:val="15"/>
                <w:szCs w:val="15"/>
              </w:rPr>
              <w:t>(0.017)</w:t>
            </w:r>
          </w:p>
        </w:tc>
        <w:tc>
          <w:tcPr>
            <w:tcW w:w="239" w:type="dxa"/>
          </w:tcPr>
          <w:p w14:paraId="2BFD10EE" w14:textId="77777777" w:rsidR="00A94A10" w:rsidRPr="00636169" w:rsidRDefault="00A94A10" w:rsidP="00BE68EC">
            <w:pPr>
              <w:jc w:val="center"/>
              <w:rPr>
                <w:sz w:val="16"/>
                <w:szCs w:val="16"/>
              </w:rPr>
            </w:pPr>
          </w:p>
        </w:tc>
      </w:tr>
      <w:tr w:rsidR="00A94A10" w:rsidRPr="00636169" w14:paraId="1D0F988B" w14:textId="77777777" w:rsidTr="00BE68EC">
        <w:trPr>
          <w:gridAfter w:val="1"/>
          <w:wAfter w:w="1560" w:type="dxa"/>
        </w:trPr>
        <w:tc>
          <w:tcPr>
            <w:tcW w:w="1913" w:type="dxa"/>
            <w:vAlign w:val="center"/>
          </w:tcPr>
          <w:p w14:paraId="7AAFE3B9" w14:textId="77777777" w:rsidR="00A94A10" w:rsidRPr="009C7364" w:rsidRDefault="00A94A10" w:rsidP="00BE68EC">
            <w:pPr>
              <w:rPr>
                <w:b/>
                <w:bCs/>
                <w:sz w:val="15"/>
                <w:szCs w:val="15"/>
              </w:rPr>
            </w:pPr>
            <w:r w:rsidRPr="009C7364">
              <w:rPr>
                <w:sz w:val="15"/>
                <w:szCs w:val="15"/>
              </w:rPr>
              <w:t xml:space="preserve"> 50-64</w:t>
            </w:r>
          </w:p>
        </w:tc>
        <w:tc>
          <w:tcPr>
            <w:tcW w:w="1773" w:type="dxa"/>
            <w:vAlign w:val="center"/>
          </w:tcPr>
          <w:p w14:paraId="48C02ED6" w14:textId="77777777" w:rsidR="00A94A10" w:rsidRPr="009C7364" w:rsidRDefault="00A94A10" w:rsidP="00BE68EC">
            <w:pPr>
              <w:jc w:val="center"/>
              <w:rPr>
                <w:sz w:val="15"/>
                <w:szCs w:val="15"/>
              </w:rPr>
            </w:pPr>
            <w:r w:rsidRPr="009C7364">
              <w:rPr>
                <w:sz w:val="15"/>
                <w:szCs w:val="15"/>
              </w:rPr>
              <w:t>-0.004</w:t>
            </w:r>
          </w:p>
          <w:p w14:paraId="0FD1A0AF" w14:textId="77777777" w:rsidR="00A94A10" w:rsidRPr="009C7364" w:rsidRDefault="00A94A10" w:rsidP="00BE68EC">
            <w:pPr>
              <w:jc w:val="center"/>
              <w:rPr>
                <w:sz w:val="15"/>
                <w:szCs w:val="15"/>
              </w:rPr>
            </w:pPr>
            <w:r w:rsidRPr="009C7364">
              <w:rPr>
                <w:sz w:val="15"/>
                <w:szCs w:val="15"/>
              </w:rPr>
              <w:t>(0.011)</w:t>
            </w:r>
          </w:p>
        </w:tc>
        <w:tc>
          <w:tcPr>
            <w:tcW w:w="1984" w:type="dxa"/>
            <w:tcBorders>
              <w:right w:val="single" w:sz="4" w:space="0" w:color="auto"/>
            </w:tcBorders>
            <w:vAlign w:val="center"/>
          </w:tcPr>
          <w:p w14:paraId="780E2459" w14:textId="77777777" w:rsidR="00A94A10" w:rsidRPr="006A01DA" w:rsidRDefault="00A94A10" w:rsidP="00BE68EC">
            <w:pPr>
              <w:jc w:val="center"/>
              <w:rPr>
                <w:sz w:val="15"/>
                <w:szCs w:val="15"/>
              </w:rPr>
            </w:pPr>
            <w:r w:rsidRPr="006A01DA">
              <w:rPr>
                <w:sz w:val="15"/>
                <w:szCs w:val="15"/>
              </w:rPr>
              <w:t>0.007</w:t>
            </w:r>
          </w:p>
          <w:p w14:paraId="5195752C" w14:textId="77777777" w:rsidR="00A94A10" w:rsidRPr="006A01DA" w:rsidRDefault="00A94A10" w:rsidP="00BE68EC">
            <w:pPr>
              <w:jc w:val="center"/>
              <w:rPr>
                <w:sz w:val="15"/>
                <w:szCs w:val="15"/>
              </w:rPr>
            </w:pPr>
            <w:r w:rsidRPr="006A01DA">
              <w:rPr>
                <w:sz w:val="15"/>
                <w:szCs w:val="15"/>
              </w:rPr>
              <w:t>(0.009)</w:t>
            </w:r>
          </w:p>
        </w:tc>
        <w:tc>
          <w:tcPr>
            <w:tcW w:w="1560" w:type="dxa"/>
            <w:tcBorders>
              <w:left w:val="single" w:sz="4" w:space="0" w:color="auto"/>
            </w:tcBorders>
            <w:vAlign w:val="center"/>
          </w:tcPr>
          <w:p w14:paraId="6DBD0926" w14:textId="77777777" w:rsidR="00A94A10" w:rsidRPr="006A01DA" w:rsidRDefault="00A94A10" w:rsidP="00BE68EC">
            <w:pPr>
              <w:jc w:val="center"/>
              <w:rPr>
                <w:sz w:val="15"/>
                <w:szCs w:val="15"/>
              </w:rPr>
            </w:pPr>
            <w:r w:rsidRPr="006A01DA">
              <w:rPr>
                <w:sz w:val="15"/>
                <w:szCs w:val="15"/>
              </w:rPr>
              <w:t>-0.052*</w:t>
            </w:r>
          </w:p>
          <w:p w14:paraId="0814F3CA" w14:textId="77777777" w:rsidR="00A94A10" w:rsidRPr="006A01DA" w:rsidRDefault="00A94A10" w:rsidP="00BE68EC">
            <w:pPr>
              <w:jc w:val="center"/>
              <w:rPr>
                <w:sz w:val="15"/>
                <w:szCs w:val="15"/>
              </w:rPr>
            </w:pPr>
            <w:r w:rsidRPr="006A01DA">
              <w:rPr>
                <w:sz w:val="15"/>
                <w:szCs w:val="15"/>
              </w:rPr>
              <w:t>(0.021)</w:t>
            </w:r>
          </w:p>
        </w:tc>
        <w:tc>
          <w:tcPr>
            <w:tcW w:w="1557" w:type="dxa"/>
            <w:vAlign w:val="center"/>
          </w:tcPr>
          <w:p w14:paraId="26D93EF6" w14:textId="77777777" w:rsidR="00A94A10" w:rsidRPr="006A01DA" w:rsidRDefault="00A94A10" w:rsidP="00BE68EC">
            <w:pPr>
              <w:jc w:val="center"/>
              <w:rPr>
                <w:sz w:val="15"/>
                <w:szCs w:val="15"/>
              </w:rPr>
            </w:pPr>
            <w:r w:rsidRPr="006A01DA">
              <w:rPr>
                <w:sz w:val="15"/>
                <w:szCs w:val="15"/>
              </w:rPr>
              <w:t>-0.027</w:t>
            </w:r>
          </w:p>
          <w:p w14:paraId="77512E24" w14:textId="77777777" w:rsidR="00A94A10" w:rsidRPr="006A01DA" w:rsidRDefault="00A94A10" w:rsidP="00BE68EC">
            <w:pPr>
              <w:jc w:val="center"/>
              <w:rPr>
                <w:sz w:val="15"/>
                <w:szCs w:val="15"/>
              </w:rPr>
            </w:pPr>
            <w:r w:rsidRPr="006A01DA">
              <w:rPr>
                <w:sz w:val="15"/>
                <w:szCs w:val="15"/>
              </w:rPr>
              <w:t>(0.020)</w:t>
            </w:r>
          </w:p>
        </w:tc>
        <w:tc>
          <w:tcPr>
            <w:tcW w:w="239" w:type="dxa"/>
          </w:tcPr>
          <w:p w14:paraId="006425ED" w14:textId="77777777" w:rsidR="00A94A10" w:rsidRPr="00636169" w:rsidRDefault="00A94A10" w:rsidP="00BE68EC">
            <w:pPr>
              <w:jc w:val="center"/>
              <w:rPr>
                <w:sz w:val="16"/>
                <w:szCs w:val="16"/>
              </w:rPr>
            </w:pPr>
          </w:p>
        </w:tc>
      </w:tr>
      <w:tr w:rsidR="00A94A10" w:rsidRPr="00636169" w14:paraId="3C9C3D72" w14:textId="77777777" w:rsidTr="00BE68EC">
        <w:trPr>
          <w:gridAfter w:val="1"/>
          <w:wAfter w:w="1560" w:type="dxa"/>
        </w:trPr>
        <w:tc>
          <w:tcPr>
            <w:tcW w:w="1913" w:type="dxa"/>
            <w:vAlign w:val="center"/>
          </w:tcPr>
          <w:p w14:paraId="7A5BBCC0" w14:textId="77777777" w:rsidR="00A94A10" w:rsidRPr="009C7364" w:rsidRDefault="00A94A10" w:rsidP="00BE68EC">
            <w:pPr>
              <w:rPr>
                <w:b/>
                <w:bCs/>
                <w:sz w:val="15"/>
                <w:szCs w:val="15"/>
              </w:rPr>
            </w:pPr>
            <w:r w:rsidRPr="009C7364">
              <w:rPr>
                <w:sz w:val="15"/>
                <w:szCs w:val="15"/>
              </w:rPr>
              <w:t xml:space="preserve"> 65+</w:t>
            </w:r>
          </w:p>
        </w:tc>
        <w:tc>
          <w:tcPr>
            <w:tcW w:w="1773" w:type="dxa"/>
            <w:vAlign w:val="center"/>
          </w:tcPr>
          <w:p w14:paraId="2C64F914" w14:textId="77777777" w:rsidR="00A94A10" w:rsidRPr="009C7364" w:rsidRDefault="00A94A10" w:rsidP="00BE68EC">
            <w:pPr>
              <w:jc w:val="center"/>
              <w:rPr>
                <w:sz w:val="15"/>
                <w:szCs w:val="15"/>
              </w:rPr>
            </w:pPr>
            <w:r w:rsidRPr="009C7364">
              <w:rPr>
                <w:sz w:val="15"/>
                <w:szCs w:val="15"/>
              </w:rPr>
              <w:t>-0.007</w:t>
            </w:r>
          </w:p>
          <w:p w14:paraId="38B43A53" w14:textId="77777777" w:rsidR="00A94A10" w:rsidRPr="009C7364" w:rsidRDefault="00A94A10" w:rsidP="00BE68EC">
            <w:pPr>
              <w:jc w:val="center"/>
              <w:rPr>
                <w:sz w:val="15"/>
                <w:szCs w:val="15"/>
              </w:rPr>
            </w:pPr>
            <w:r w:rsidRPr="009C7364">
              <w:rPr>
                <w:sz w:val="15"/>
                <w:szCs w:val="15"/>
              </w:rPr>
              <w:t>(0.015)</w:t>
            </w:r>
          </w:p>
        </w:tc>
        <w:tc>
          <w:tcPr>
            <w:tcW w:w="1984" w:type="dxa"/>
            <w:tcBorders>
              <w:right w:val="single" w:sz="4" w:space="0" w:color="auto"/>
            </w:tcBorders>
            <w:vAlign w:val="center"/>
          </w:tcPr>
          <w:p w14:paraId="752E559F" w14:textId="77777777" w:rsidR="00A94A10" w:rsidRPr="006A01DA" w:rsidRDefault="00A94A10" w:rsidP="00BE68EC">
            <w:pPr>
              <w:jc w:val="center"/>
              <w:rPr>
                <w:sz w:val="15"/>
                <w:szCs w:val="15"/>
              </w:rPr>
            </w:pPr>
            <w:r w:rsidRPr="006A01DA">
              <w:rPr>
                <w:sz w:val="15"/>
                <w:szCs w:val="15"/>
              </w:rPr>
              <w:t>0.012</w:t>
            </w:r>
          </w:p>
          <w:p w14:paraId="0D979BF1" w14:textId="77777777" w:rsidR="00A94A10" w:rsidRPr="006A01DA" w:rsidRDefault="00A94A10" w:rsidP="00BE68EC">
            <w:pPr>
              <w:jc w:val="center"/>
              <w:rPr>
                <w:sz w:val="15"/>
                <w:szCs w:val="15"/>
              </w:rPr>
            </w:pPr>
            <w:r w:rsidRPr="006A01DA">
              <w:rPr>
                <w:sz w:val="15"/>
                <w:szCs w:val="15"/>
              </w:rPr>
              <w:t>(0.011)</w:t>
            </w:r>
          </w:p>
        </w:tc>
        <w:tc>
          <w:tcPr>
            <w:tcW w:w="1560" w:type="dxa"/>
            <w:tcBorders>
              <w:left w:val="single" w:sz="4" w:space="0" w:color="auto"/>
            </w:tcBorders>
            <w:vAlign w:val="center"/>
          </w:tcPr>
          <w:p w14:paraId="0C4624AD" w14:textId="77777777" w:rsidR="00A94A10" w:rsidRPr="006A01DA" w:rsidRDefault="00A94A10" w:rsidP="00BE68EC">
            <w:pPr>
              <w:jc w:val="center"/>
              <w:rPr>
                <w:sz w:val="15"/>
                <w:szCs w:val="15"/>
              </w:rPr>
            </w:pPr>
            <w:r w:rsidRPr="006A01DA">
              <w:rPr>
                <w:sz w:val="15"/>
                <w:szCs w:val="15"/>
              </w:rPr>
              <w:t>-0.082**</w:t>
            </w:r>
          </w:p>
          <w:p w14:paraId="79F9B632" w14:textId="77777777" w:rsidR="00A94A10" w:rsidRPr="006A01DA" w:rsidRDefault="00A94A10" w:rsidP="00BE68EC">
            <w:pPr>
              <w:jc w:val="center"/>
              <w:rPr>
                <w:sz w:val="15"/>
                <w:szCs w:val="15"/>
              </w:rPr>
            </w:pPr>
            <w:r w:rsidRPr="006A01DA">
              <w:rPr>
                <w:sz w:val="15"/>
                <w:szCs w:val="15"/>
              </w:rPr>
              <w:t>(0.026)</w:t>
            </w:r>
          </w:p>
        </w:tc>
        <w:tc>
          <w:tcPr>
            <w:tcW w:w="1557" w:type="dxa"/>
            <w:vAlign w:val="center"/>
          </w:tcPr>
          <w:p w14:paraId="7BCF8296" w14:textId="77777777" w:rsidR="00A94A10" w:rsidRPr="006A01DA" w:rsidRDefault="00A94A10" w:rsidP="00BE68EC">
            <w:pPr>
              <w:jc w:val="center"/>
              <w:rPr>
                <w:sz w:val="15"/>
                <w:szCs w:val="15"/>
                <w:vertAlign w:val="superscript"/>
              </w:rPr>
            </w:pPr>
            <w:r w:rsidRPr="006A01DA">
              <w:rPr>
                <w:sz w:val="15"/>
                <w:szCs w:val="15"/>
              </w:rPr>
              <w:t>-0.049</w:t>
            </w:r>
            <w:r w:rsidRPr="006A01DA">
              <w:rPr>
                <w:sz w:val="15"/>
                <w:szCs w:val="15"/>
                <w:vertAlign w:val="superscript"/>
              </w:rPr>
              <w:t>+</w:t>
            </w:r>
          </w:p>
          <w:p w14:paraId="62D1C062" w14:textId="77777777" w:rsidR="00A94A10" w:rsidRPr="006A01DA" w:rsidRDefault="00A94A10" w:rsidP="00BE68EC">
            <w:pPr>
              <w:jc w:val="center"/>
              <w:rPr>
                <w:sz w:val="15"/>
                <w:szCs w:val="15"/>
              </w:rPr>
            </w:pPr>
            <w:r w:rsidRPr="006A01DA">
              <w:rPr>
                <w:sz w:val="15"/>
                <w:szCs w:val="15"/>
              </w:rPr>
              <w:t>(0.025)</w:t>
            </w:r>
          </w:p>
        </w:tc>
        <w:tc>
          <w:tcPr>
            <w:tcW w:w="239" w:type="dxa"/>
          </w:tcPr>
          <w:p w14:paraId="23CE4E3D" w14:textId="77777777" w:rsidR="00A94A10" w:rsidRPr="00636169" w:rsidRDefault="00A94A10" w:rsidP="00BE68EC">
            <w:pPr>
              <w:jc w:val="center"/>
              <w:rPr>
                <w:sz w:val="16"/>
                <w:szCs w:val="16"/>
              </w:rPr>
            </w:pPr>
          </w:p>
        </w:tc>
      </w:tr>
      <w:tr w:rsidR="00A94A10" w:rsidRPr="00636169" w14:paraId="212D5735" w14:textId="77777777" w:rsidTr="00BE68EC">
        <w:trPr>
          <w:gridAfter w:val="1"/>
          <w:wAfter w:w="1560" w:type="dxa"/>
        </w:trPr>
        <w:tc>
          <w:tcPr>
            <w:tcW w:w="1913" w:type="dxa"/>
            <w:vAlign w:val="center"/>
          </w:tcPr>
          <w:p w14:paraId="50EE1C99" w14:textId="77777777" w:rsidR="00A94A10" w:rsidRPr="009C7364" w:rsidRDefault="00A94A10" w:rsidP="00BE68EC">
            <w:pPr>
              <w:rPr>
                <w:b/>
                <w:bCs/>
                <w:sz w:val="15"/>
                <w:szCs w:val="15"/>
              </w:rPr>
            </w:pPr>
            <w:r w:rsidRPr="009C7364">
              <w:rPr>
                <w:sz w:val="15"/>
                <w:szCs w:val="15"/>
              </w:rPr>
              <w:t>Good health</w:t>
            </w:r>
          </w:p>
        </w:tc>
        <w:tc>
          <w:tcPr>
            <w:tcW w:w="1773" w:type="dxa"/>
            <w:vAlign w:val="center"/>
          </w:tcPr>
          <w:p w14:paraId="59CBFFC8" w14:textId="77777777" w:rsidR="00A94A10" w:rsidRPr="009C7364" w:rsidRDefault="00A94A10" w:rsidP="00BE68EC">
            <w:pPr>
              <w:jc w:val="center"/>
              <w:rPr>
                <w:sz w:val="15"/>
                <w:szCs w:val="15"/>
              </w:rPr>
            </w:pPr>
            <w:r w:rsidRPr="009C7364">
              <w:rPr>
                <w:sz w:val="15"/>
                <w:szCs w:val="15"/>
              </w:rPr>
              <w:t>-0.049***</w:t>
            </w:r>
          </w:p>
          <w:p w14:paraId="02209292" w14:textId="77777777" w:rsidR="00A94A10" w:rsidRPr="009C7364" w:rsidRDefault="00A94A10" w:rsidP="00BE68EC">
            <w:pPr>
              <w:jc w:val="center"/>
              <w:rPr>
                <w:sz w:val="15"/>
                <w:szCs w:val="15"/>
              </w:rPr>
            </w:pPr>
            <w:r w:rsidRPr="009C7364">
              <w:rPr>
                <w:sz w:val="15"/>
                <w:szCs w:val="15"/>
              </w:rPr>
              <w:t>(0.011)</w:t>
            </w:r>
          </w:p>
        </w:tc>
        <w:tc>
          <w:tcPr>
            <w:tcW w:w="1984" w:type="dxa"/>
            <w:tcBorders>
              <w:right w:val="single" w:sz="4" w:space="0" w:color="auto"/>
            </w:tcBorders>
            <w:vAlign w:val="center"/>
          </w:tcPr>
          <w:p w14:paraId="36A3A8A2" w14:textId="77777777" w:rsidR="00A94A10" w:rsidRPr="006A01DA" w:rsidRDefault="00A94A10" w:rsidP="00BE68EC">
            <w:pPr>
              <w:jc w:val="center"/>
              <w:rPr>
                <w:sz w:val="15"/>
                <w:szCs w:val="15"/>
              </w:rPr>
            </w:pPr>
            <w:r w:rsidRPr="006A01DA">
              <w:rPr>
                <w:sz w:val="15"/>
                <w:szCs w:val="15"/>
              </w:rPr>
              <w:t>-0.024***</w:t>
            </w:r>
          </w:p>
          <w:p w14:paraId="3F890E2B" w14:textId="77777777" w:rsidR="00A94A10" w:rsidRPr="006A01DA" w:rsidRDefault="00A94A10" w:rsidP="00BE68EC">
            <w:pPr>
              <w:jc w:val="center"/>
              <w:rPr>
                <w:sz w:val="15"/>
                <w:szCs w:val="15"/>
              </w:rPr>
            </w:pPr>
            <w:r w:rsidRPr="006A01DA">
              <w:rPr>
                <w:sz w:val="15"/>
                <w:szCs w:val="15"/>
              </w:rPr>
              <w:t>(0.008)</w:t>
            </w:r>
          </w:p>
        </w:tc>
        <w:tc>
          <w:tcPr>
            <w:tcW w:w="1560" w:type="dxa"/>
            <w:tcBorders>
              <w:left w:val="single" w:sz="4" w:space="0" w:color="auto"/>
            </w:tcBorders>
            <w:vAlign w:val="center"/>
          </w:tcPr>
          <w:p w14:paraId="07F164C3" w14:textId="77777777" w:rsidR="00A94A10" w:rsidRPr="006A01DA" w:rsidRDefault="00A94A10" w:rsidP="00BE68EC">
            <w:pPr>
              <w:jc w:val="center"/>
              <w:rPr>
                <w:sz w:val="15"/>
                <w:szCs w:val="15"/>
              </w:rPr>
            </w:pPr>
            <w:r w:rsidRPr="006A01DA">
              <w:rPr>
                <w:sz w:val="15"/>
                <w:szCs w:val="15"/>
              </w:rPr>
              <w:t>-0.087***</w:t>
            </w:r>
          </w:p>
          <w:p w14:paraId="52B337D9" w14:textId="77777777" w:rsidR="00A94A10" w:rsidRPr="006A01DA" w:rsidRDefault="00A94A10" w:rsidP="00BE68EC">
            <w:pPr>
              <w:jc w:val="center"/>
              <w:rPr>
                <w:sz w:val="15"/>
                <w:szCs w:val="15"/>
              </w:rPr>
            </w:pPr>
            <w:r w:rsidRPr="006A01DA">
              <w:rPr>
                <w:sz w:val="15"/>
                <w:szCs w:val="15"/>
              </w:rPr>
              <w:t>(0.017)</w:t>
            </w:r>
          </w:p>
        </w:tc>
        <w:tc>
          <w:tcPr>
            <w:tcW w:w="1557" w:type="dxa"/>
            <w:vAlign w:val="center"/>
          </w:tcPr>
          <w:p w14:paraId="407263B6" w14:textId="77777777" w:rsidR="00A94A10" w:rsidRPr="006A01DA" w:rsidRDefault="00A94A10" w:rsidP="00BE68EC">
            <w:pPr>
              <w:jc w:val="center"/>
              <w:rPr>
                <w:sz w:val="15"/>
                <w:szCs w:val="15"/>
              </w:rPr>
            </w:pPr>
            <w:r w:rsidRPr="006A01DA">
              <w:rPr>
                <w:sz w:val="15"/>
                <w:szCs w:val="15"/>
              </w:rPr>
              <w:t>-0.046**</w:t>
            </w:r>
          </w:p>
          <w:p w14:paraId="7F681BD3" w14:textId="77777777" w:rsidR="00A94A10" w:rsidRPr="006A01DA" w:rsidRDefault="00A94A10" w:rsidP="00BE68EC">
            <w:pPr>
              <w:jc w:val="center"/>
              <w:rPr>
                <w:sz w:val="15"/>
                <w:szCs w:val="15"/>
              </w:rPr>
            </w:pPr>
            <w:r w:rsidRPr="006A01DA">
              <w:rPr>
                <w:sz w:val="15"/>
                <w:szCs w:val="15"/>
              </w:rPr>
              <w:t>(0.015)</w:t>
            </w:r>
          </w:p>
        </w:tc>
        <w:tc>
          <w:tcPr>
            <w:tcW w:w="239" w:type="dxa"/>
          </w:tcPr>
          <w:p w14:paraId="58005E45" w14:textId="77777777" w:rsidR="00A94A10" w:rsidRPr="00636169" w:rsidRDefault="00A94A10" w:rsidP="00BE68EC">
            <w:pPr>
              <w:jc w:val="center"/>
              <w:rPr>
                <w:sz w:val="16"/>
                <w:szCs w:val="16"/>
              </w:rPr>
            </w:pPr>
          </w:p>
        </w:tc>
      </w:tr>
      <w:tr w:rsidR="00A94A10" w:rsidRPr="00636169" w14:paraId="2C29CF0C" w14:textId="77777777" w:rsidTr="00BE68EC">
        <w:trPr>
          <w:gridAfter w:val="1"/>
          <w:wAfter w:w="1560" w:type="dxa"/>
        </w:trPr>
        <w:tc>
          <w:tcPr>
            <w:tcW w:w="1913" w:type="dxa"/>
            <w:vAlign w:val="center"/>
          </w:tcPr>
          <w:p w14:paraId="6377536F" w14:textId="77777777" w:rsidR="00A94A10" w:rsidRPr="009C7364" w:rsidRDefault="00A94A10" w:rsidP="00BE68EC">
            <w:pPr>
              <w:rPr>
                <w:b/>
                <w:bCs/>
                <w:sz w:val="15"/>
                <w:szCs w:val="15"/>
              </w:rPr>
            </w:pPr>
            <w:r w:rsidRPr="009C7364">
              <w:rPr>
                <w:sz w:val="15"/>
                <w:szCs w:val="15"/>
              </w:rPr>
              <w:t>Disability</w:t>
            </w:r>
          </w:p>
        </w:tc>
        <w:tc>
          <w:tcPr>
            <w:tcW w:w="1773" w:type="dxa"/>
            <w:vAlign w:val="center"/>
          </w:tcPr>
          <w:p w14:paraId="73C8B897" w14:textId="77777777" w:rsidR="00A94A10" w:rsidRPr="009C7364" w:rsidRDefault="00A94A10" w:rsidP="00BE68EC">
            <w:pPr>
              <w:jc w:val="center"/>
              <w:rPr>
                <w:sz w:val="15"/>
                <w:szCs w:val="15"/>
              </w:rPr>
            </w:pPr>
            <w:r w:rsidRPr="009C7364">
              <w:rPr>
                <w:sz w:val="15"/>
                <w:szCs w:val="15"/>
              </w:rPr>
              <w:t>0.017*</w:t>
            </w:r>
          </w:p>
          <w:p w14:paraId="765E6EF1" w14:textId="77777777" w:rsidR="00A94A10" w:rsidRPr="009C7364" w:rsidRDefault="00A94A10" w:rsidP="00BE68EC">
            <w:pPr>
              <w:jc w:val="center"/>
              <w:rPr>
                <w:sz w:val="15"/>
                <w:szCs w:val="15"/>
              </w:rPr>
            </w:pPr>
            <w:r w:rsidRPr="009C7364">
              <w:rPr>
                <w:sz w:val="15"/>
                <w:szCs w:val="15"/>
              </w:rPr>
              <w:t>(0.008)</w:t>
            </w:r>
          </w:p>
        </w:tc>
        <w:tc>
          <w:tcPr>
            <w:tcW w:w="1984" w:type="dxa"/>
            <w:tcBorders>
              <w:right w:val="single" w:sz="4" w:space="0" w:color="auto"/>
            </w:tcBorders>
            <w:vAlign w:val="center"/>
          </w:tcPr>
          <w:p w14:paraId="1FD2F795" w14:textId="77777777" w:rsidR="00A94A10" w:rsidRPr="006A01DA" w:rsidRDefault="00A94A10" w:rsidP="00BE68EC">
            <w:pPr>
              <w:jc w:val="center"/>
              <w:rPr>
                <w:sz w:val="15"/>
                <w:szCs w:val="15"/>
              </w:rPr>
            </w:pPr>
            <w:r w:rsidRPr="006A01DA">
              <w:rPr>
                <w:sz w:val="15"/>
                <w:szCs w:val="15"/>
              </w:rPr>
              <w:t>0.003</w:t>
            </w:r>
          </w:p>
          <w:p w14:paraId="7B70D57C" w14:textId="77777777" w:rsidR="00A94A10" w:rsidRPr="006A01DA" w:rsidRDefault="00A94A10" w:rsidP="00BE68EC">
            <w:pPr>
              <w:jc w:val="center"/>
              <w:rPr>
                <w:sz w:val="15"/>
                <w:szCs w:val="15"/>
              </w:rPr>
            </w:pPr>
            <w:r w:rsidRPr="006A01DA">
              <w:rPr>
                <w:sz w:val="15"/>
                <w:szCs w:val="15"/>
              </w:rPr>
              <w:t>(0.007)</w:t>
            </w:r>
          </w:p>
        </w:tc>
        <w:tc>
          <w:tcPr>
            <w:tcW w:w="1560" w:type="dxa"/>
            <w:tcBorders>
              <w:left w:val="single" w:sz="4" w:space="0" w:color="auto"/>
            </w:tcBorders>
            <w:vAlign w:val="center"/>
          </w:tcPr>
          <w:p w14:paraId="32BAE564" w14:textId="77777777" w:rsidR="00A94A10" w:rsidRPr="006A01DA" w:rsidRDefault="00A94A10" w:rsidP="00BE68EC">
            <w:pPr>
              <w:jc w:val="center"/>
              <w:rPr>
                <w:sz w:val="15"/>
                <w:szCs w:val="15"/>
              </w:rPr>
            </w:pPr>
            <w:r w:rsidRPr="006A01DA">
              <w:rPr>
                <w:sz w:val="15"/>
                <w:szCs w:val="15"/>
              </w:rPr>
              <w:t>0.046***</w:t>
            </w:r>
          </w:p>
          <w:p w14:paraId="46FF042B" w14:textId="77777777" w:rsidR="00A94A10" w:rsidRPr="006A01DA" w:rsidRDefault="00A94A10" w:rsidP="00BE68EC">
            <w:pPr>
              <w:jc w:val="center"/>
              <w:rPr>
                <w:sz w:val="15"/>
                <w:szCs w:val="15"/>
              </w:rPr>
            </w:pPr>
            <w:r w:rsidRPr="006A01DA">
              <w:rPr>
                <w:sz w:val="15"/>
                <w:szCs w:val="15"/>
              </w:rPr>
              <w:t>(0.014)</w:t>
            </w:r>
          </w:p>
        </w:tc>
        <w:tc>
          <w:tcPr>
            <w:tcW w:w="1557" w:type="dxa"/>
            <w:vAlign w:val="center"/>
          </w:tcPr>
          <w:p w14:paraId="404FD377" w14:textId="77777777" w:rsidR="00A94A10" w:rsidRPr="006A01DA" w:rsidRDefault="00A94A10" w:rsidP="00BE68EC">
            <w:pPr>
              <w:jc w:val="center"/>
              <w:rPr>
                <w:sz w:val="15"/>
                <w:szCs w:val="15"/>
              </w:rPr>
            </w:pPr>
            <w:r w:rsidRPr="006A01DA">
              <w:rPr>
                <w:sz w:val="15"/>
                <w:szCs w:val="15"/>
              </w:rPr>
              <w:t>0.019</w:t>
            </w:r>
          </w:p>
          <w:p w14:paraId="51706102" w14:textId="77777777" w:rsidR="00A94A10" w:rsidRPr="006A01DA" w:rsidRDefault="00A94A10" w:rsidP="00BE68EC">
            <w:pPr>
              <w:jc w:val="center"/>
              <w:rPr>
                <w:sz w:val="15"/>
                <w:szCs w:val="15"/>
              </w:rPr>
            </w:pPr>
            <w:r w:rsidRPr="006A01DA">
              <w:rPr>
                <w:sz w:val="15"/>
                <w:szCs w:val="15"/>
              </w:rPr>
              <w:t>(0.013)</w:t>
            </w:r>
          </w:p>
        </w:tc>
        <w:tc>
          <w:tcPr>
            <w:tcW w:w="239" w:type="dxa"/>
          </w:tcPr>
          <w:p w14:paraId="5F466F54" w14:textId="77777777" w:rsidR="00A94A10" w:rsidRPr="00636169" w:rsidRDefault="00A94A10" w:rsidP="00BE68EC">
            <w:pPr>
              <w:jc w:val="center"/>
              <w:rPr>
                <w:sz w:val="16"/>
                <w:szCs w:val="16"/>
              </w:rPr>
            </w:pPr>
          </w:p>
        </w:tc>
      </w:tr>
      <w:tr w:rsidR="00A94A10" w:rsidRPr="00636169" w14:paraId="1705D5A5" w14:textId="77777777" w:rsidTr="00BE68EC">
        <w:trPr>
          <w:gridAfter w:val="1"/>
          <w:wAfter w:w="1560" w:type="dxa"/>
        </w:trPr>
        <w:tc>
          <w:tcPr>
            <w:tcW w:w="1913" w:type="dxa"/>
            <w:vAlign w:val="center"/>
          </w:tcPr>
          <w:p w14:paraId="5AF8B78E" w14:textId="77777777" w:rsidR="00A94A10" w:rsidRPr="009C7364" w:rsidRDefault="00A94A10" w:rsidP="00BE68EC">
            <w:pPr>
              <w:rPr>
                <w:b/>
                <w:bCs/>
                <w:sz w:val="15"/>
                <w:szCs w:val="15"/>
              </w:rPr>
            </w:pPr>
            <w:r w:rsidRPr="009C7364">
              <w:rPr>
                <w:sz w:val="15"/>
                <w:szCs w:val="15"/>
              </w:rPr>
              <w:t>Not born in Ireland</w:t>
            </w:r>
          </w:p>
        </w:tc>
        <w:tc>
          <w:tcPr>
            <w:tcW w:w="1773" w:type="dxa"/>
            <w:vAlign w:val="center"/>
          </w:tcPr>
          <w:p w14:paraId="12A6A545" w14:textId="77777777" w:rsidR="00A94A10" w:rsidRPr="009C7364" w:rsidRDefault="00A94A10" w:rsidP="00BE68EC">
            <w:pPr>
              <w:jc w:val="center"/>
              <w:rPr>
                <w:sz w:val="15"/>
                <w:szCs w:val="15"/>
              </w:rPr>
            </w:pPr>
            <w:r w:rsidRPr="009C7364">
              <w:rPr>
                <w:sz w:val="15"/>
                <w:szCs w:val="15"/>
              </w:rPr>
              <w:t>0.026***</w:t>
            </w:r>
          </w:p>
          <w:p w14:paraId="1E1F0403" w14:textId="77777777" w:rsidR="00A94A10" w:rsidRPr="009C7364" w:rsidRDefault="00A94A10" w:rsidP="00BE68EC">
            <w:pPr>
              <w:jc w:val="center"/>
              <w:rPr>
                <w:sz w:val="15"/>
                <w:szCs w:val="15"/>
              </w:rPr>
            </w:pPr>
            <w:r w:rsidRPr="009C7364">
              <w:rPr>
                <w:sz w:val="15"/>
                <w:szCs w:val="15"/>
              </w:rPr>
              <w:t>(0.008)</w:t>
            </w:r>
          </w:p>
        </w:tc>
        <w:tc>
          <w:tcPr>
            <w:tcW w:w="1984" w:type="dxa"/>
            <w:tcBorders>
              <w:right w:val="single" w:sz="4" w:space="0" w:color="auto"/>
            </w:tcBorders>
            <w:vAlign w:val="center"/>
          </w:tcPr>
          <w:p w14:paraId="26E9A68E" w14:textId="77777777" w:rsidR="00A94A10" w:rsidRPr="006A01DA" w:rsidRDefault="00A94A10" w:rsidP="00BE68EC">
            <w:pPr>
              <w:jc w:val="center"/>
              <w:rPr>
                <w:sz w:val="15"/>
                <w:szCs w:val="15"/>
              </w:rPr>
            </w:pPr>
            <w:r w:rsidRPr="006A01DA">
              <w:rPr>
                <w:sz w:val="15"/>
                <w:szCs w:val="15"/>
              </w:rPr>
              <w:t>0.028***</w:t>
            </w:r>
          </w:p>
          <w:p w14:paraId="6CA769A7" w14:textId="77777777" w:rsidR="00A94A10" w:rsidRPr="006A01DA" w:rsidRDefault="00A94A10" w:rsidP="00BE68EC">
            <w:pPr>
              <w:jc w:val="center"/>
              <w:rPr>
                <w:sz w:val="15"/>
                <w:szCs w:val="15"/>
              </w:rPr>
            </w:pPr>
            <w:r w:rsidRPr="006A01DA">
              <w:rPr>
                <w:sz w:val="15"/>
                <w:szCs w:val="15"/>
              </w:rPr>
              <w:t>(0.007)</w:t>
            </w:r>
          </w:p>
        </w:tc>
        <w:tc>
          <w:tcPr>
            <w:tcW w:w="1560" w:type="dxa"/>
            <w:tcBorders>
              <w:left w:val="single" w:sz="4" w:space="0" w:color="auto"/>
            </w:tcBorders>
            <w:vAlign w:val="center"/>
          </w:tcPr>
          <w:p w14:paraId="6D8D243A" w14:textId="77777777" w:rsidR="00A94A10" w:rsidRPr="006A01DA" w:rsidRDefault="00A94A10" w:rsidP="00BE68EC">
            <w:pPr>
              <w:jc w:val="center"/>
              <w:rPr>
                <w:sz w:val="15"/>
                <w:szCs w:val="15"/>
              </w:rPr>
            </w:pPr>
            <w:r w:rsidRPr="006A01DA">
              <w:rPr>
                <w:sz w:val="15"/>
                <w:szCs w:val="15"/>
              </w:rPr>
              <w:t>0.02</w:t>
            </w:r>
            <w:r>
              <w:rPr>
                <w:sz w:val="15"/>
                <w:szCs w:val="15"/>
              </w:rPr>
              <w:t>5</w:t>
            </w:r>
            <w:r w:rsidRPr="006A01DA">
              <w:rPr>
                <w:sz w:val="15"/>
                <w:szCs w:val="15"/>
              </w:rPr>
              <w:t>*</w:t>
            </w:r>
          </w:p>
          <w:p w14:paraId="5AB3A8F3" w14:textId="77777777" w:rsidR="00A94A10" w:rsidRPr="006A01DA" w:rsidRDefault="00A94A10" w:rsidP="00BE68EC">
            <w:pPr>
              <w:jc w:val="center"/>
              <w:rPr>
                <w:sz w:val="15"/>
                <w:szCs w:val="15"/>
              </w:rPr>
            </w:pPr>
            <w:r w:rsidRPr="006A01DA">
              <w:rPr>
                <w:sz w:val="15"/>
                <w:szCs w:val="15"/>
              </w:rPr>
              <w:t>(0.013)</w:t>
            </w:r>
          </w:p>
        </w:tc>
        <w:tc>
          <w:tcPr>
            <w:tcW w:w="1557" w:type="dxa"/>
            <w:vAlign w:val="center"/>
          </w:tcPr>
          <w:p w14:paraId="39655110" w14:textId="77777777" w:rsidR="00A94A10" w:rsidRPr="006A01DA" w:rsidRDefault="00A94A10" w:rsidP="00BE68EC">
            <w:pPr>
              <w:jc w:val="center"/>
              <w:rPr>
                <w:sz w:val="15"/>
                <w:szCs w:val="15"/>
              </w:rPr>
            </w:pPr>
            <w:r w:rsidRPr="006A01DA">
              <w:rPr>
                <w:sz w:val="15"/>
                <w:szCs w:val="15"/>
              </w:rPr>
              <w:t>0.029*</w:t>
            </w:r>
          </w:p>
          <w:p w14:paraId="7EE3A408" w14:textId="77777777" w:rsidR="00A94A10" w:rsidRPr="006A01DA" w:rsidRDefault="00A94A10" w:rsidP="00BE68EC">
            <w:pPr>
              <w:jc w:val="center"/>
              <w:rPr>
                <w:sz w:val="15"/>
                <w:szCs w:val="15"/>
              </w:rPr>
            </w:pPr>
            <w:r w:rsidRPr="006A01DA">
              <w:rPr>
                <w:sz w:val="15"/>
                <w:szCs w:val="15"/>
              </w:rPr>
              <w:t>(0.012)</w:t>
            </w:r>
          </w:p>
        </w:tc>
        <w:tc>
          <w:tcPr>
            <w:tcW w:w="239" w:type="dxa"/>
          </w:tcPr>
          <w:p w14:paraId="7E18C335" w14:textId="77777777" w:rsidR="00A94A10" w:rsidRPr="00636169" w:rsidRDefault="00A94A10" w:rsidP="00BE68EC">
            <w:pPr>
              <w:jc w:val="center"/>
              <w:rPr>
                <w:sz w:val="16"/>
                <w:szCs w:val="16"/>
              </w:rPr>
            </w:pPr>
          </w:p>
        </w:tc>
      </w:tr>
      <w:tr w:rsidR="00A94A10" w:rsidRPr="00636169" w14:paraId="13A15CA1" w14:textId="77777777" w:rsidTr="00BE68EC">
        <w:trPr>
          <w:gridAfter w:val="1"/>
          <w:wAfter w:w="1560" w:type="dxa"/>
        </w:trPr>
        <w:tc>
          <w:tcPr>
            <w:tcW w:w="1913" w:type="dxa"/>
            <w:vAlign w:val="center"/>
          </w:tcPr>
          <w:p w14:paraId="55E1EB7D" w14:textId="77777777" w:rsidR="00A94A10" w:rsidRPr="009C7364" w:rsidRDefault="00A94A10" w:rsidP="00BE68EC">
            <w:pPr>
              <w:rPr>
                <w:b/>
                <w:bCs/>
                <w:sz w:val="15"/>
                <w:szCs w:val="15"/>
              </w:rPr>
            </w:pPr>
            <w:r w:rsidRPr="009C7364">
              <w:rPr>
                <w:i/>
                <w:iCs/>
                <w:sz w:val="15"/>
                <w:szCs w:val="15"/>
              </w:rPr>
              <w:t>Marital status (Ref: single)</w:t>
            </w:r>
          </w:p>
        </w:tc>
        <w:tc>
          <w:tcPr>
            <w:tcW w:w="1773" w:type="dxa"/>
            <w:vAlign w:val="center"/>
          </w:tcPr>
          <w:p w14:paraId="5713FE5D" w14:textId="77777777" w:rsidR="00A94A10" w:rsidRPr="009C7364" w:rsidRDefault="00A94A10" w:rsidP="00BE68EC">
            <w:pPr>
              <w:jc w:val="center"/>
              <w:rPr>
                <w:sz w:val="15"/>
                <w:szCs w:val="15"/>
              </w:rPr>
            </w:pPr>
          </w:p>
        </w:tc>
        <w:tc>
          <w:tcPr>
            <w:tcW w:w="1984" w:type="dxa"/>
            <w:tcBorders>
              <w:right w:val="single" w:sz="4" w:space="0" w:color="auto"/>
            </w:tcBorders>
            <w:vAlign w:val="center"/>
          </w:tcPr>
          <w:p w14:paraId="35121B77" w14:textId="77777777" w:rsidR="00A94A10" w:rsidRPr="00636169" w:rsidRDefault="00A94A10" w:rsidP="00BE68EC">
            <w:pPr>
              <w:jc w:val="center"/>
              <w:rPr>
                <w:sz w:val="15"/>
                <w:szCs w:val="15"/>
              </w:rPr>
            </w:pPr>
          </w:p>
        </w:tc>
        <w:tc>
          <w:tcPr>
            <w:tcW w:w="1560" w:type="dxa"/>
            <w:tcBorders>
              <w:left w:val="single" w:sz="4" w:space="0" w:color="auto"/>
            </w:tcBorders>
            <w:vAlign w:val="center"/>
          </w:tcPr>
          <w:p w14:paraId="12B46A5E" w14:textId="77777777" w:rsidR="00A94A10" w:rsidRPr="00636169" w:rsidRDefault="00A94A10" w:rsidP="00BE68EC">
            <w:pPr>
              <w:jc w:val="center"/>
              <w:rPr>
                <w:sz w:val="15"/>
                <w:szCs w:val="15"/>
              </w:rPr>
            </w:pPr>
          </w:p>
        </w:tc>
        <w:tc>
          <w:tcPr>
            <w:tcW w:w="1557" w:type="dxa"/>
            <w:vAlign w:val="center"/>
          </w:tcPr>
          <w:p w14:paraId="2E614C3A" w14:textId="77777777" w:rsidR="00A94A10" w:rsidRPr="00636169" w:rsidRDefault="00A94A10" w:rsidP="00BE68EC">
            <w:pPr>
              <w:jc w:val="center"/>
              <w:rPr>
                <w:sz w:val="15"/>
                <w:szCs w:val="15"/>
              </w:rPr>
            </w:pPr>
          </w:p>
        </w:tc>
        <w:tc>
          <w:tcPr>
            <w:tcW w:w="239" w:type="dxa"/>
          </w:tcPr>
          <w:p w14:paraId="65B609C3" w14:textId="77777777" w:rsidR="00A94A10" w:rsidRPr="00636169" w:rsidRDefault="00A94A10" w:rsidP="00BE68EC">
            <w:pPr>
              <w:jc w:val="center"/>
              <w:rPr>
                <w:sz w:val="16"/>
                <w:szCs w:val="16"/>
              </w:rPr>
            </w:pPr>
          </w:p>
        </w:tc>
      </w:tr>
      <w:tr w:rsidR="00A94A10" w:rsidRPr="00636169" w14:paraId="7C8FD7CF" w14:textId="77777777" w:rsidTr="00BE68EC">
        <w:trPr>
          <w:gridAfter w:val="1"/>
          <w:wAfter w:w="1560" w:type="dxa"/>
        </w:trPr>
        <w:tc>
          <w:tcPr>
            <w:tcW w:w="1913" w:type="dxa"/>
            <w:vAlign w:val="center"/>
          </w:tcPr>
          <w:p w14:paraId="306B3759" w14:textId="77777777" w:rsidR="00A94A10" w:rsidRPr="009C7364" w:rsidRDefault="00A94A10" w:rsidP="00BE68EC">
            <w:pPr>
              <w:rPr>
                <w:b/>
                <w:bCs/>
                <w:sz w:val="15"/>
                <w:szCs w:val="15"/>
              </w:rPr>
            </w:pPr>
            <w:r w:rsidRPr="009C7364">
              <w:rPr>
                <w:sz w:val="15"/>
                <w:szCs w:val="15"/>
              </w:rPr>
              <w:t xml:space="preserve"> Married/</w:t>
            </w:r>
            <w:r>
              <w:rPr>
                <w:sz w:val="15"/>
                <w:szCs w:val="15"/>
              </w:rPr>
              <w:t>c</w:t>
            </w:r>
            <w:r w:rsidRPr="009C7364">
              <w:rPr>
                <w:sz w:val="15"/>
                <w:szCs w:val="15"/>
              </w:rPr>
              <w:t>ivil partnership</w:t>
            </w:r>
          </w:p>
        </w:tc>
        <w:tc>
          <w:tcPr>
            <w:tcW w:w="1773" w:type="dxa"/>
            <w:vAlign w:val="center"/>
          </w:tcPr>
          <w:p w14:paraId="1C372747" w14:textId="77777777" w:rsidR="00A94A10" w:rsidRPr="009C7364" w:rsidRDefault="00A94A10" w:rsidP="00BE68EC">
            <w:pPr>
              <w:jc w:val="center"/>
              <w:rPr>
                <w:sz w:val="15"/>
                <w:szCs w:val="15"/>
              </w:rPr>
            </w:pPr>
            <w:r w:rsidRPr="009C7364">
              <w:rPr>
                <w:sz w:val="15"/>
                <w:szCs w:val="15"/>
              </w:rPr>
              <w:t>-0.030***</w:t>
            </w:r>
          </w:p>
          <w:p w14:paraId="0AEA8F62" w14:textId="77777777" w:rsidR="00A94A10" w:rsidRPr="009C7364" w:rsidRDefault="00A94A10" w:rsidP="00BE68EC">
            <w:pPr>
              <w:jc w:val="center"/>
              <w:rPr>
                <w:sz w:val="15"/>
                <w:szCs w:val="15"/>
              </w:rPr>
            </w:pPr>
            <w:r w:rsidRPr="009C7364">
              <w:rPr>
                <w:sz w:val="15"/>
                <w:szCs w:val="15"/>
              </w:rPr>
              <w:t>(0.007)</w:t>
            </w:r>
          </w:p>
        </w:tc>
        <w:tc>
          <w:tcPr>
            <w:tcW w:w="1984" w:type="dxa"/>
            <w:tcBorders>
              <w:right w:val="single" w:sz="4" w:space="0" w:color="auto"/>
            </w:tcBorders>
            <w:vAlign w:val="center"/>
          </w:tcPr>
          <w:p w14:paraId="638B6C1B" w14:textId="77777777" w:rsidR="00A94A10" w:rsidRPr="00636169" w:rsidRDefault="00A94A10" w:rsidP="00BE68EC">
            <w:pPr>
              <w:jc w:val="center"/>
              <w:rPr>
                <w:sz w:val="15"/>
                <w:szCs w:val="15"/>
              </w:rPr>
            </w:pPr>
            <w:r w:rsidRPr="00636169">
              <w:rPr>
                <w:sz w:val="15"/>
                <w:szCs w:val="15"/>
              </w:rPr>
              <w:t>-0.022***</w:t>
            </w:r>
          </w:p>
          <w:p w14:paraId="76BF28EA" w14:textId="77777777" w:rsidR="00A94A10" w:rsidRPr="00636169" w:rsidRDefault="00A94A10" w:rsidP="00BE68EC">
            <w:pPr>
              <w:jc w:val="center"/>
              <w:rPr>
                <w:sz w:val="15"/>
                <w:szCs w:val="15"/>
              </w:rPr>
            </w:pPr>
            <w:r w:rsidRPr="00636169">
              <w:rPr>
                <w:sz w:val="15"/>
                <w:szCs w:val="15"/>
              </w:rPr>
              <w:t>(0.006)</w:t>
            </w:r>
          </w:p>
        </w:tc>
        <w:tc>
          <w:tcPr>
            <w:tcW w:w="1560" w:type="dxa"/>
            <w:tcBorders>
              <w:left w:val="single" w:sz="4" w:space="0" w:color="auto"/>
            </w:tcBorders>
            <w:vAlign w:val="center"/>
          </w:tcPr>
          <w:p w14:paraId="1E91826F" w14:textId="77777777" w:rsidR="00A94A10" w:rsidRPr="00636169" w:rsidRDefault="00A94A10" w:rsidP="00BE68EC">
            <w:pPr>
              <w:jc w:val="center"/>
              <w:rPr>
                <w:sz w:val="15"/>
                <w:szCs w:val="15"/>
              </w:rPr>
            </w:pPr>
            <w:r w:rsidRPr="00636169">
              <w:rPr>
                <w:sz w:val="15"/>
                <w:szCs w:val="15"/>
              </w:rPr>
              <w:t>-0.065***</w:t>
            </w:r>
          </w:p>
          <w:p w14:paraId="4F45A5AE" w14:textId="77777777" w:rsidR="00A94A10" w:rsidRPr="00636169" w:rsidRDefault="00A94A10" w:rsidP="00BE68EC">
            <w:pPr>
              <w:jc w:val="center"/>
              <w:rPr>
                <w:sz w:val="15"/>
                <w:szCs w:val="15"/>
              </w:rPr>
            </w:pPr>
            <w:r w:rsidRPr="00636169">
              <w:rPr>
                <w:sz w:val="15"/>
                <w:szCs w:val="15"/>
              </w:rPr>
              <w:t>(0.013)</w:t>
            </w:r>
          </w:p>
        </w:tc>
        <w:tc>
          <w:tcPr>
            <w:tcW w:w="1557" w:type="dxa"/>
            <w:vAlign w:val="center"/>
          </w:tcPr>
          <w:p w14:paraId="3DF1D762" w14:textId="77777777" w:rsidR="00A94A10" w:rsidRPr="00636169" w:rsidRDefault="00A94A10" w:rsidP="00BE68EC">
            <w:pPr>
              <w:jc w:val="center"/>
              <w:rPr>
                <w:sz w:val="15"/>
                <w:szCs w:val="15"/>
              </w:rPr>
            </w:pPr>
            <w:r w:rsidRPr="00636169">
              <w:rPr>
                <w:sz w:val="15"/>
                <w:szCs w:val="15"/>
              </w:rPr>
              <w:t>-0.0</w:t>
            </w:r>
            <w:r>
              <w:rPr>
                <w:sz w:val="15"/>
                <w:szCs w:val="15"/>
              </w:rPr>
              <w:t>50</w:t>
            </w:r>
            <w:r w:rsidRPr="00636169">
              <w:rPr>
                <w:sz w:val="15"/>
                <w:szCs w:val="15"/>
              </w:rPr>
              <w:t>***</w:t>
            </w:r>
          </w:p>
          <w:p w14:paraId="01E095E9" w14:textId="77777777" w:rsidR="00A94A10" w:rsidRPr="00636169" w:rsidRDefault="00A94A10" w:rsidP="00BE68EC">
            <w:pPr>
              <w:jc w:val="center"/>
              <w:rPr>
                <w:sz w:val="15"/>
                <w:szCs w:val="15"/>
              </w:rPr>
            </w:pPr>
            <w:r w:rsidRPr="00636169">
              <w:rPr>
                <w:sz w:val="15"/>
                <w:szCs w:val="15"/>
              </w:rPr>
              <w:t>(0.013)</w:t>
            </w:r>
          </w:p>
        </w:tc>
        <w:tc>
          <w:tcPr>
            <w:tcW w:w="239" w:type="dxa"/>
          </w:tcPr>
          <w:p w14:paraId="1FE3ADD0" w14:textId="77777777" w:rsidR="00A94A10" w:rsidRPr="00636169" w:rsidRDefault="00A94A10" w:rsidP="00BE68EC">
            <w:pPr>
              <w:jc w:val="center"/>
              <w:rPr>
                <w:sz w:val="16"/>
                <w:szCs w:val="16"/>
              </w:rPr>
            </w:pPr>
          </w:p>
        </w:tc>
      </w:tr>
      <w:tr w:rsidR="00A94A10" w:rsidRPr="00636169" w14:paraId="28914891" w14:textId="77777777" w:rsidTr="00BE68EC">
        <w:trPr>
          <w:gridAfter w:val="1"/>
          <w:wAfter w:w="1560" w:type="dxa"/>
        </w:trPr>
        <w:tc>
          <w:tcPr>
            <w:tcW w:w="1913" w:type="dxa"/>
            <w:vAlign w:val="center"/>
          </w:tcPr>
          <w:p w14:paraId="35570979" w14:textId="77777777" w:rsidR="00A94A10" w:rsidRPr="009C7364" w:rsidRDefault="00A94A10" w:rsidP="00BE68EC">
            <w:pPr>
              <w:rPr>
                <w:b/>
                <w:bCs/>
                <w:sz w:val="15"/>
                <w:szCs w:val="15"/>
              </w:rPr>
            </w:pPr>
            <w:r w:rsidRPr="009C7364">
              <w:rPr>
                <w:sz w:val="15"/>
                <w:szCs w:val="15"/>
              </w:rPr>
              <w:t xml:space="preserve"> Separated/divorced</w:t>
            </w:r>
          </w:p>
        </w:tc>
        <w:tc>
          <w:tcPr>
            <w:tcW w:w="1773" w:type="dxa"/>
            <w:vAlign w:val="center"/>
          </w:tcPr>
          <w:p w14:paraId="671348BD" w14:textId="77777777" w:rsidR="00A94A10" w:rsidRPr="009C7364" w:rsidRDefault="00A94A10" w:rsidP="00BE68EC">
            <w:pPr>
              <w:jc w:val="center"/>
              <w:rPr>
                <w:sz w:val="15"/>
                <w:szCs w:val="15"/>
              </w:rPr>
            </w:pPr>
            <w:r w:rsidRPr="009C7364">
              <w:rPr>
                <w:sz w:val="15"/>
                <w:szCs w:val="15"/>
              </w:rPr>
              <w:t>0.005</w:t>
            </w:r>
          </w:p>
          <w:p w14:paraId="69DA5612" w14:textId="77777777" w:rsidR="00A94A10" w:rsidRPr="009C7364" w:rsidRDefault="00A94A10" w:rsidP="00BE68EC">
            <w:pPr>
              <w:jc w:val="center"/>
              <w:rPr>
                <w:sz w:val="15"/>
                <w:szCs w:val="15"/>
              </w:rPr>
            </w:pPr>
            <w:r w:rsidRPr="009C7364">
              <w:rPr>
                <w:sz w:val="15"/>
                <w:szCs w:val="15"/>
              </w:rPr>
              <w:t>(0.013)</w:t>
            </w:r>
          </w:p>
        </w:tc>
        <w:tc>
          <w:tcPr>
            <w:tcW w:w="1984" w:type="dxa"/>
            <w:tcBorders>
              <w:right w:val="single" w:sz="4" w:space="0" w:color="auto"/>
            </w:tcBorders>
            <w:vAlign w:val="center"/>
          </w:tcPr>
          <w:p w14:paraId="7824E174" w14:textId="77777777" w:rsidR="00A94A10" w:rsidRPr="00636169" w:rsidRDefault="00A94A10" w:rsidP="00BE68EC">
            <w:pPr>
              <w:jc w:val="center"/>
              <w:rPr>
                <w:sz w:val="15"/>
                <w:szCs w:val="15"/>
              </w:rPr>
            </w:pPr>
            <w:r w:rsidRPr="00636169">
              <w:rPr>
                <w:sz w:val="15"/>
                <w:szCs w:val="15"/>
              </w:rPr>
              <w:t>0.00004</w:t>
            </w:r>
          </w:p>
          <w:p w14:paraId="39EA1514" w14:textId="77777777" w:rsidR="00A94A10" w:rsidRPr="00636169" w:rsidRDefault="00A94A10" w:rsidP="00BE68EC">
            <w:pPr>
              <w:jc w:val="center"/>
              <w:rPr>
                <w:sz w:val="15"/>
                <w:szCs w:val="15"/>
              </w:rPr>
            </w:pPr>
            <w:r w:rsidRPr="00636169">
              <w:rPr>
                <w:sz w:val="15"/>
                <w:szCs w:val="15"/>
              </w:rPr>
              <w:t>(0.010)</w:t>
            </w:r>
          </w:p>
        </w:tc>
        <w:tc>
          <w:tcPr>
            <w:tcW w:w="1560" w:type="dxa"/>
            <w:tcBorders>
              <w:left w:val="single" w:sz="4" w:space="0" w:color="auto"/>
            </w:tcBorders>
            <w:vAlign w:val="center"/>
          </w:tcPr>
          <w:p w14:paraId="64377682" w14:textId="77777777" w:rsidR="00A94A10" w:rsidRPr="00636169" w:rsidRDefault="00A94A10" w:rsidP="00BE68EC">
            <w:pPr>
              <w:jc w:val="center"/>
              <w:rPr>
                <w:sz w:val="15"/>
                <w:szCs w:val="15"/>
              </w:rPr>
            </w:pPr>
            <w:r w:rsidRPr="00636169">
              <w:rPr>
                <w:sz w:val="15"/>
                <w:szCs w:val="15"/>
              </w:rPr>
              <w:t>0.037</w:t>
            </w:r>
          </w:p>
          <w:p w14:paraId="3ECA35B0" w14:textId="77777777" w:rsidR="00A94A10" w:rsidRPr="00636169" w:rsidRDefault="00A94A10" w:rsidP="00BE68EC">
            <w:pPr>
              <w:jc w:val="center"/>
              <w:rPr>
                <w:sz w:val="15"/>
                <w:szCs w:val="15"/>
              </w:rPr>
            </w:pPr>
            <w:r w:rsidRPr="00636169">
              <w:rPr>
                <w:sz w:val="15"/>
                <w:szCs w:val="15"/>
              </w:rPr>
              <w:t>(0.024)</w:t>
            </w:r>
          </w:p>
        </w:tc>
        <w:tc>
          <w:tcPr>
            <w:tcW w:w="1557" w:type="dxa"/>
            <w:vAlign w:val="center"/>
          </w:tcPr>
          <w:p w14:paraId="6E7A8052" w14:textId="77777777" w:rsidR="00A94A10" w:rsidRPr="00636169" w:rsidRDefault="00A94A10" w:rsidP="00BE68EC">
            <w:pPr>
              <w:jc w:val="center"/>
              <w:rPr>
                <w:sz w:val="15"/>
                <w:szCs w:val="15"/>
              </w:rPr>
            </w:pPr>
            <w:r w:rsidRPr="00636169">
              <w:rPr>
                <w:sz w:val="15"/>
                <w:szCs w:val="15"/>
              </w:rPr>
              <w:t>0.0</w:t>
            </w:r>
            <w:r>
              <w:rPr>
                <w:sz w:val="15"/>
                <w:szCs w:val="15"/>
              </w:rPr>
              <w:t>2</w:t>
            </w:r>
            <w:r w:rsidRPr="00636169">
              <w:rPr>
                <w:sz w:val="15"/>
                <w:szCs w:val="15"/>
              </w:rPr>
              <w:t>7</w:t>
            </w:r>
          </w:p>
          <w:p w14:paraId="6C99AC64" w14:textId="77777777" w:rsidR="00A94A10" w:rsidRPr="00636169" w:rsidRDefault="00A94A10" w:rsidP="00BE68EC">
            <w:pPr>
              <w:jc w:val="center"/>
              <w:rPr>
                <w:sz w:val="15"/>
                <w:szCs w:val="15"/>
              </w:rPr>
            </w:pPr>
            <w:r w:rsidRPr="00636169">
              <w:rPr>
                <w:sz w:val="15"/>
                <w:szCs w:val="15"/>
              </w:rPr>
              <w:t>(0.02</w:t>
            </w:r>
            <w:r>
              <w:rPr>
                <w:sz w:val="15"/>
                <w:szCs w:val="15"/>
              </w:rPr>
              <w:t>2</w:t>
            </w:r>
            <w:r w:rsidRPr="00636169">
              <w:rPr>
                <w:sz w:val="15"/>
                <w:szCs w:val="15"/>
              </w:rPr>
              <w:t>)</w:t>
            </w:r>
          </w:p>
        </w:tc>
        <w:tc>
          <w:tcPr>
            <w:tcW w:w="239" w:type="dxa"/>
          </w:tcPr>
          <w:p w14:paraId="5E777A07" w14:textId="77777777" w:rsidR="00A94A10" w:rsidRPr="00636169" w:rsidRDefault="00A94A10" w:rsidP="00BE68EC">
            <w:pPr>
              <w:jc w:val="center"/>
              <w:rPr>
                <w:sz w:val="16"/>
                <w:szCs w:val="16"/>
              </w:rPr>
            </w:pPr>
          </w:p>
        </w:tc>
      </w:tr>
      <w:tr w:rsidR="00A94A10" w:rsidRPr="00636169" w14:paraId="264C9332" w14:textId="77777777" w:rsidTr="00BE68EC">
        <w:trPr>
          <w:gridAfter w:val="1"/>
          <w:wAfter w:w="1560" w:type="dxa"/>
        </w:trPr>
        <w:tc>
          <w:tcPr>
            <w:tcW w:w="1913" w:type="dxa"/>
            <w:vAlign w:val="center"/>
          </w:tcPr>
          <w:p w14:paraId="6899BD56" w14:textId="77777777" w:rsidR="00A94A10" w:rsidRPr="009C7364" w:rsidRDefault="00A94A10" w:rsidP="00BE68EC">
            <w:pPr>
              <w:rPr>
                <w:b/>
                <w:bCs/>
                <w:sz w:val="15"/>
                <w:szCs w:val="15"/>
              </w:rPr>
            </w:pPr>
            <w:r w:rsidRPr="009C7364">
              <w:rPr>
                <w:sz w:val="15"/>
                <w:szCs w:val="15"/>
              </w:rPr>
              <w:t xml:space="preserve"> Widowed</w:t>
            </w:r>
          </w:p>
        </w:tc>
        <w:tc>
          <w:tcPr>
            <w:tcW w:w="1773" w:type="dxa"/>
            <w:vAlign w:val="center"/>
          </w:tcPr>
          <w:p w14:paraId="6D018433" w14:textId="77777777" w:rsidR="00A94A10" w:rsidRPr="009C7364" w:rsidRDefault="00A94A10" w:rsidP="00BE68EC">
            <w:pPr>
              <w:jc w:val="center"/>
              <w:rPr>
                <w:sz w:val="15"/>
                <w:szCs w:val="15"/>
                <w:vertAlign w:val="superscript"/>
              </w:rPr>
            </w:pPr>
            <w:r w:rsidRPr="009C7364">
              <w:rPr>
                <w:sz w:val="15"/>
                <w:szCs w:val="15"/>
              </w:rPr>
              <w:t>0.045</w:t>
            </w:r>
            <w:r w:rsidRPr="009C7364">
              <w:rPr>
                <w:sz w:val="15"/>
                <w:szCs w:val="15"/>
                <w:vertAlign w:val="superscript"/>
              </w:rPr>
              <w:t>+</w:t>
            </w:r>
          </w:p>
          <w:p w14:paraId="6E39914F" w14:textId="77777777" w:rsidR="00A94A10" w:rsidRPr="009C7364" w:rsidRDefault="00A94A10" w:rsidP="00BE68EC">
            <w:pPr>
              <w:jc w:val="center"/>
              <w:rPr>
                <w:sz w:val="15"/>
                <w:szCs w:val="15"/>
              </w:rPr>
            </w:pPr>
            <w:r w:rsidRPr="009C7364">
              <w:rPr>
                <w:sz w:val="15"/>
                <w:szCs w:val="15"/>
              </w:rPr>
              <w:t>(0.025)</w:t>
            </w:r>
          </w:p>
        </w:tc>
        <w:tc>
          <w:tcPr>
            <w:tcW w:w="1984" w:type="dxa"/>
            <w:tcBorders>
              <w:right w:val="single" w:sz="4" w:space="0" w:color="auto"/>
            </w:tcBorders>
            <w:vAlign w:val="center"/>
          </w:tcPr>
          <w:p w14:paraId="31887C69" w14:textId="77777777" w:rsidR="00A94A10" w:rsidRPr="00636169" w:rsidRDefault="00A94A10" w:rsidP="00BE68EC">
            <w:pPr>
              <w:jc w:val="center"/>
              <w:rPr>
                <w:sz w:val="15"/>
                <w:szCs w:val="15"/>
                <w:vertAlign w:val="superscript"/>
              </w:rPr>
            </w:pPr>
            <w:r w:rsidRPr="00636169">
              <w:rPr>
                <w:sz w:val="15"/>
                <w:szCs w:val="15"/>
              </w:rPr>
              <w:t>0.052*</w:t>
            </w:r>
          </w:p>
          <w:p w14:paraId="5C199399" w14:textId="77777777" w:rsidR="00A94A10" w:rsidRPr="00636169" w:rsidRDefault="00A94A10" w:rsidP="00BE68EC">
            <w:pPr>
              <w:jc w:val="center"/>
              <w:rPr>
                <w:sz w:val="15"/>
                <w:szCs w:val="15"/>
              </w:rPr>
            </w:pPr>
            <w:r w:rsidRPr="00636169">
              <w:rPr>
                <w:sz w:val="15"/>
                <w:szCs w:val="15"/>
              </w:rPr>
              <w:t>(0.022)</w:t>
            </w:r>
          </w:p>
        </w:tc>
        <w:tc>
          <w:tcPr>
            <w:tcW w:w="1560" w:type="dxa"/>
            <w:tcBorders>
              <w:left w:val="single" w:sz="4" w:space="0" w:color="auto"/>
            </w:tcBorders>
            <w:vAlign w:val="center"/>
          </w:tcPr>
          <w:p w14:paraId="5C402B0C" w14:textId="77777777" w:rsidR="00A94A10" w:rsidRPr="00636169" w:rsidRDefault="00A94A10" w:rsidP="00BE68EC">
            <w:pPr>
              <w:jc w:val="center"/>
              <w:rPr>
                <w:sz w:val="15"/>
                <w:szCs w:val="15"/>
                <w:vertAlign w:val="superscript"/>
              </w:rPr>
            </w:pPr>
            <w:r w:rsidRPr="00636169">
              <w:rPr>
                <w:sz w:val="15"/>
                <w:szCs w:val="15"/>
              </w:rPr>
              <w:t>0.08</w:t>
            </w:r>
            <w:r>
              <w:rPr>
                <w:sz w:val="15"/>
                <w:szCs w:val="15"/>
              </w:rPr>
              <w:t>5</w:t>
            </w:r>
            <w:r w:rsidRPr="00636169">
              <w:rPr>
                <w:sz w:val="15"/>
                <w:szCs w:val="15"/>
              </w:rPr>
              <w:t>*</w:t>
            </w:r>
          </w:p>
          <w:p w14:paraId="24C05CBA" w14:textId="77777777" w:rsidR="00A94A10" w:rsidRPr="00636169" w:rsidRDefault="00A94A10" w:rsidP="00BE68EC">
            <w:pPr>
              <w:jc w:val="center"/>
              <w:rPr>
                <w:sz w:val="15"/>
                <w:szCs w:val="15"/>
              </w:rPr>
            </w:pPr>
            <w:r w:rsidRPr="00636169">
              <w:rPr>
                <w:sz w:val="15"/>
                <w:szCs w:val="15"/>
              </w:rPr>
              <w:t>(0.034)</w:t>
            </w:r>
          </w:p>
        </w:tc>
        <w:tc>
          <w:tcPr>
            <w:tcW w:w="1557" w:type="dxa"/>
            <w:vAlign w:val="center"/>
          </w:tcPr>
          <w:p w14:paraId="02B21E98" w14:textId="77777777" w:rsidR="00A94A10" w:rsidRPr="00636169" w:rsidRDefault="00A94A10" w:rsidP="00BE68EC">
            <w:pPr>
              <w:jc w:val="center"/>
              <w:rPr>
                <w:sz w:val="15"/>
                <w:szCs w:val="15"/>
                <w:vertAlign w:val="superscript"/>
              </w:rPr>
            </w:pPr>
            <w:r w:rsidRPr="00636169">
              <w:rPr>
                <w:sz w:val="15"/>
                <w:szCs w:val="15"/>
              </w:rPr>
              <w:t>0.0</w:t>
            </w:r>
            <w:r>
              <w:rPr>
                <w:sz w:val="15"/>
                <w:szCs w:val="15"/>
              </w:rPr>
              <w:t>95**</w:t>
            </w:r>
          </w:p>
          <w:p w14:paraId="064C6A97" w14:textId="77777777" w:rsidR="00A94A10" w:rsidRPr="00636169" w:rsidRDefault="00A94A10" w:rsidP="00BE68EC">
            <w:pPr>
              <w:jc w:val="center"/>
              <w:rPr>
                <w:sz w:val="15"/>
                <w:szCs w:val="15"/>
              </w:rPr>
            </w:pPr>
            <w:r w:rsidRPr="00636169">
              <w:rPr>
                <w:sz w:val="15"/>
                <w:szCs w:val="15"/>
              </w:rPr>
              <w:t>(0.03</w:t>
            </w:r>
            <w:r>
              <w:rPr>
                <w:sz w:val="15"/>
                <w:szCs w:val="15"/>
              </w:rPr>
              <w:t>1</w:t>
            </w:r>
            <w:r w:rsidRPr="00636169">
              <w:rPr>
                <w:sz w:val="15"/>
                <w:szCs w:val="15"/>
              </w:rPr>
              <w:t>)</w:t>
            </w:r>
          </w:p>
        </w:tc>
        <w:tc>
          <w:tcPr>
            <w:tcW w:w="239" w:type="dxa"/>
          </w:tcPr>
          <w:p w14:paraId="3CA1CD45" w14:textId="77777777" w:rsidR="00A94A10" w:rsidRPr="00636169" w:rsidRDefault="00A94A10" w:rsidP="00BE68EC">
            <w:pPr>
              <w:jc w:val="center"/>
              <w:rPr>
                <w:sz w:val="16"/>
                <w:szCs w:val="16"/>
              </w:rPr>
            </w:pPr>
          </w:p>
        </w:tc>
      </w:tr>
      <w:tr w:rsidR="00A94A10" w:rsidRPr="00636169" w14:paraId="0D520728" w14:textId="77777777" w:rsidTr="00BE68EC">
        <w:trPr>
          <w:gridAfter w:val="1"/>
          <w:wAfter w:w="1560" w:type="dxa"/>
        </w:trPr>
        <w:tc>
          <w:tcPr>
            <w:tcW w:w="1913" w:type="dxa"/>
            <w:vAlign w:val="center"/>
          </w:tcPr>
          <w:p w14:paraId="62B7A620" w14:textId="77777777" w:rsidR="00A94A10" w:rsidRPr="009C7364" w:rsidRDefault="00A94A10" w:rsidP="00BE68EC">
            <w:pPr>
              <w:rPr>
                <w:b/>
                <w:bCs/>
                <w:sz w:val="15"/>
                <w:szCs w:val="15"/>
              </w:rPr>
            </w:pPr>
            <w:r w:rsidRPr="009C7364">
              <w:rPr>
                <w:sz w:val="15"/>
                <w:szCs w:val="15"/>
              </w:rPr>
              <w:t>Has children under 18</w:t>
            </w:r>
          </w:p>
        </w:tc>
        <w:tc>
          <w:tcPr>
            <w:tcW w:w="1773" w:type="dxa"/>
            <w:vAlign w:val="center"/>
          </w:tcPr>
          <w:p w14:paraId="3A6D05F9" w14:textId="77777777" w:rsidR="00A94A10" w:rsidRPr="009C7364" w:rsidRDefault="00A94A10" w:rsidP="00BE68EC">
            <w:pPr>
              <w:jc w:val="center"/>
              <w:rPr>
                <w:sz w:val="15"/>
                <w:szCs w:val="15"/>
              </w:rPr>
            </w:pPr>
            <w:r w:rsidRPr="009C7364">
              <w:rPr>
                <w:sz w:val="15"/>
                <w:szCs w:val="15"/>
              </w:rPr>
              <w:t>0.009</w:t>
            </w:r>
          </w:p>
          <w:p w14:paraId="038AEDF6" w14:textId="77777777" w:rsidR="00A94A10" w:rsidRPr="009C7364" w:rsidRDefault="00A94A10" w:rsidP="00BE68EC">
            <w:pPr>
              <w:jc w:val="center"/>
              <w:rPr>
                <w:sz w:val="15"/>
                <w:szCs w:val="15"/>
              </w:rPr>
            </w:pPr>
            <w:r w:rsidRPr="009C7364">
              <w:rPr>
                <w:sz w:val="15"/>
                <w:szCs w:val="15"/>
              </w:rPr>
              <w:t>(0.010)</w:t>
            </w:r>
          </w:p>
        </w:tc>
        <w:tc>
          <w:tcPr>
            <w:tcW w:w="1984" w:type="dxa"/>
            <w:tcBorders>
              <w:right w:val="single" w:sz="4" w:space="0" w:color="auto"/>
            </w:tcBorders>
            <w:vAlign w:val="center"/>
          </w:tcPr>
          <w:p w14:paraId="03D7BB4E" w14:textId="77777777" w:rsidR="00A94A10" w:rsidRPr="00636169" w:rsidRDefault="00A94A10" w:rsidP="00BE68EC">
            <w:pPr>
              <w:jc w:val="center"/>
              <w:rPr>
                <w:sz w:val="15"/>
                <w:szCs w:val="15"/>
              </w:rPr>
            </w:pPr>
            <w:r w:rsidRPr="00636169">
              <w:rPr>
                <w:sz w:val="15"/>
                <w:szCs w:val="15"/>
              </w:rPr>
              <w:t>0.006</w:t>
            </w:r>
          </w:p>
          <w:p w14:paraId="06395703" w14:textId="77777777" w:rsidR="00A94A10" w:rsidRPr="00636169" w:rsidRDefault="00A94A10" w:rsidP="00BE68EC">
            <w:pPr>
              <w:jc w:val="center"/>
              <w:rPr>
                <w:sz w:val="15"/>
                <w:szCs w:val="15"/>
              </w:rPr>
            </w:pPr>
            <w:r w:rsidRPr="00636169">
              <w:rPr>
                <w:sz w:val="15"/>
                <w:szCs w:val="15"/>
              </w:rPr>
              <w:t>(0.008)</w:t>
            </w:r>
          </w:p>
        </w:tc>
        <w:tc>
          <w:tcPr>
            <w:tcW w:w="1560" w:type="dxa"/>
            <w:tcBorders>
              <w:left w:val="single" w:sz="4" w:space="0" w:color="auto"/>
            </w:tcBorders>
            <w:vAlign w:val="center"/>
          </w:tcPr>
          <w:p w14:paraId="60CBBFFE" w14:textId="77777777" w:rsidR="00A94A10" w:rsidRPr="00636169" w:rsidRDefault="00A94A10" w:rsidP="00BE68EC">
            <w:pPr>
              <w:jc w:val="center"/>
              <w:rPr>
                <w:sz w:val="15"/>
                <w:szCs w:val="15"/>
              </w:rPr>
            </w:pPr>
            <w:r w:rsidRPr="00636169">
              <w:rPr>
                <w:sz w:val="15"/>
                <w:szCs w:val="15"/>
              </w:rPr>
              <w:t>0.00</w:t>
            </w:r>
            <w:r>
              <w:rPr>
                <w:sz w:val="15"/>
                <w:szCs w:val="15"/>
              </w:rPr>
              <w:t>1</w:t>
            </w:r>
          </w:p>
          <w:p w14:paraId="03914C11" w14:textId="77777777" w:rsidR="00A94A10" w:rsidRPr="00636169" w:rsidRDefault="00A94A10" w:rsidP="00BE68EC">
            <w:pPr>
              <w:jc w:val="center"/>
              <w:rPr>
                <w:sz w:val="15"/>
                <w:szCs w:val="15"/>
              </w:rPr>
            </w:pPr>
            <w:r w:rsidRPr="00636169">
              <w:rPr>
                <w:sz w:val="15"/>
                <w:szCs w:val="15"/>
              </w:rPr>
              <w:t>(0.014)</w:t>
            </w:r>
          </w:p>
        </w:tc>
        <w:tc>
          <w:tcPr>
            <w:tcW w:w="1557" w:type="dxa"/>
            <w:vAlign w:val="center"/>
          </w:tcPr>
          <w:p w14:paraId="781FE504" w14:textId="77777777" w:rsidR="00A94A10" w:rsidRPr="00636169" w:rsidRDefault="00A94A10" w:rsidP="00BE68EC">
            <w:pPr>
              <w:jc w:val="center"/>
              <w:rPr>
                <w:sz w:val="15"/>
                <w:szCs w:val="15"/>
              </w:rPr>
            </w:pPr>
            <w:r>
              <w:rPr>
                <w:sz w:val="15"/>
                <w:szCs w:val="15"/>
              </w:rPr>
              <w:t>-</w:t>
            </w:r>
            <w:r w:rsidRPr="00636169">
              <w:rPr>
                <w:sz w:val="15"/>
                <w:szCs w:val="15"/>
              </w:rPr>
              <w:t>0.00</w:t>
            </w:r>
            <w:r>
              <w:rPr>
                <w:sz w:val="15"/>
                <w:szCs w:val="15"/>
              </w:rPr>
              <w:t>2</w:t>
            </w:r>
          </w:p>
          <w:p w14:paraId="7AA1B72C" w14:textId="77777777" w:rsidR="00A94A10" w:rsidRPr="00636169" w:rsidRDefault="00A94A10" w:rsidP="00BE68EC">
            <w:pPr>
              <w:jc w:val="center"/>
              <w:rPr>
                <w:sz w:val="15"/>
                <w:szCs w:val="15"/>
              </w:rPr>
            </w:pPr>
            <w:r w:rsidRPr="00636169">
              <w:rPr>
                <w:sz w:val="15"/>
                <w:szCs w:val="15"/>
              </w:rPr>
              <w:t>(0.01</w:t>
            </w:r>
            <w:r>
              <w:rPr>
                <w:sz w:val="15"/>
                <w:szCs w:val="15"/>
              </w:rPr>
              <w:t>3</w:t>
            </w:r>
            <w:r w:rsidRPr="00636169">
              <w:rPr>
                <w:sz w:val="15"/>
                <w:szCs w:val="15"/>
              </w:rPr>
              <w:t>)</w:t>
            </w:r>
          </w:p>
        </w:tc>
        <w:tc>
          <w:tcPr>
            <w:tcW w:w="239" w:type="dxa"/>
          </w:tcPr>
          <w:p w14:paraId="28FD0268" w14:textId="77777777" w:rsidR="00A94A10" w:rsidRPr="00636169" w:rsidRDefault="00A94A10" w:rsidP="00BE68EC">
            <w:pPr>
              <w:jc w:val="center"/>
              <w:rPr>
                <w:sz w:val="16"/>
                <w:szCs w:val="16"/>
              </w:rPr>
            </w:pPr>
          </w:p>
        </w:tc>
      </w:tr>
      <w:tr w:rsidR="00A94A10" w:rsidRPr="00636169" w14:paraId="64FC01B9" w14:textId="77777777" w:rsidTr="00BE68EC">
        <w:trPr>
          <w:gridAfter w:val="1"/>
          <w:wAfter w:w="1560" w:type="dxa"/>
        </w:trPr>
        <w:tc>
          <w:tcPr>
            <w:tcW w:w="3686" w:type="dxa"/>
            <w:gridSpan w:val="2"/>
            <w:vAlign w:val="center"/>
          </w:tcPr>
          <w:p w14:paraId="1EE945ED" w14:textId="77777777" w:rsidR="00A94A10" w:rsidRPr="009C7364" w:rsidRDefault="00A94A10" w:rsidP="00BE68EC">
            <w:pPr>
              <w:rPr>
                <w:sz w:val="15"/>
                <w:szCs w:val="15"/>
              </w:rPr>
            </w:pPr>
            <w:r w:rsidRPr="00636169">
              <w:rPr>
                <w:i/>
                <w:iCs/>
                <w:sz w:val="15"/>
                <w:szCs w:val="15"/>
              </w:rPr>
              <w:t>Employment status (Ref: working)</w:t>
            </w:r>
          </w:p>
        </w:tc>
        <w:tc>
          <w:tcPr>
            <w:tcW w:w="1984" w:type="dxa"/>
            <w:tcBorders>
              <w:right w:val="single" w:sz="4" w:space="0" w:color="auto"/>
            </w:tcBorders>
            <w:vAlign w:val="center"/>
          </w:tcPr>
          <w:p w14:paraId="762C5801" w14:textId="77777777" w:rsidR="00A94A10" w:rsidRPr="00636169" w:rsidRDefault="00A94A10" w:rsidP="00BE68EC">
            <w:pPr>
              <w:jc w:val="center"/>
              <w:rPr>
                <w:sz w:val="15"/>
                <w:szCs w:val="15"/>
              </w:rPr>
            </w:pPr>
          </w:p>
        </w:tc>
        <w:tc>
          <w:tcPr>
            <w:tcW w:w="1560" w:type="dxa"/>
            <w:tcBorders>
              <w:left w:val="single" w:sz="4" w:space="0" w:color="auto"/>
            </w:tcBorders>
            <w:vAlign w:val="center"/>
          </w:tcPr>
          <w:p w14:paraId="1E39266F" w14:textId="77777777" w:rsidR="00A94A10" w:rsidRPr="00636169" w:rsidRDefault="00A94A10" w:rsidP="00BE68EC">
            <w:pPr>
              <w:jc w:val="center"/>
              <w:rPr>
                <w:sz w:val="15"/>
                <w:szCs w:val="15"/>
              </w:rPr>
            </w:pPr>
          </w:p>
        </w:tc>
        <w:tc>
          <w:tcPr>
            <w:tcW w:w="1557" w:type="dxa"/>
            <w:vAlign w:val="center"/>
          </w:tcPr>
          <w:p w14:paraId="118444C6" w14:textId="77777777" w:rsidR="00A94A10" w:rsidRPr="00636169" w:rsidRDefault="00A94A10" w:rsidP="00BE68EC">
            <w:pPr>
              <w:jc w:val="center"/>
              <w:rPr>
                <w:sz w:val="15"/>
                <w:szCs w:val="15"/>
              </w:rPr>
            </w:pPr>
          </w:p>
        </w:tc>
        <w:tc>
          <w:tcPr>
            <w:tcW w:w="239" w:type="dxa"/>
          </w:tcPr>
          <w:p w14:paraId="1A4F083E" w14:textId="77777777" w:rsidR="00A94A10" w:rsidRPr="00636169" w:rsidRDefault="00A94A10" w:rsidP="00BE68EC">
            <w:pPr>
              <w:jc w:val="center"/>
              <w:rPr>
                <w:sz w:val="16"/>
                <w:szCs w:val="16"/>
              </w:rPr>
            </w:pPr>
          </w:p>
        </w:tc>
      </w:tr>
      <w:tr w:rsidR="00A94A10" w:rsidRPr="00636169" w14:paraId="2AE5D8E5" w14:textId="77777777" w:rsidTr="00BE68EC">
        <w:trPr>
          <w:gridAfter w:val="1"/>
          <w:wAfter w:w="1560" w:type="dxa"/>
        </w:trPr>
        <w:tc>
          <w:tcPr>
            <w:tcW w:w="1913" w:type="dxa"/>
            <w:vAlign w:val="center"/>
          </w:tcPr>
          <w:p w14:paraId="32DAEFD3" w14:textId="77777777" w:rsidR="00A94A10" w:rsidRPr="009C7364" w:rsidRDefault="00A94A10" w:rsidP="00BE68EC">
            <w:pPr>
              <w:rPr>
                <w:b/>
                <w:bCs/>
                <w:sz w:val="15"/>
                <w:szCs w:val="15"/>
              </w:rPr>
            </w:pPr>
            <w:r w:rsidRPr="009C7364">
              <w:rPr>
                <w:sz w:val="15"/>
                <w:szCs w:val="15"/>
              </w:rPr>
              <w:t xml:space="preserve"> Unemployed</w:t>
            </w:r>
          </w:p>
        </w:tc>
        <w:tc>
          <w:tcPr>
            <w:tcW w:w="1773" w:type="dxa"/>
            <w:vAlign w:val="center"/>
          </w:tcPr>
          <w:p w14:paraId="142F2E6C" w14:textId="77777777" w:rsidR="00A94A10" w:rsidRPr="009C7364" w:rsidRDefault="00A94A10" w:rsidP="00BE68EC">
            <w:pPr>
              <w:jc w:val="center"/>
              <w:rPr>
                <w:sz w:val="15"/>
                <w:szCs w:val="15"/>
              </w:rPr>
            </w:pPr>
            <w:r w:rsidRPr="009C7364">
              <w:rPr>
                <w:sz w:val="15"/>
                <w:szCs w:val="15"/>
              </w:rPr>
              <w:t>0.05</w:t>
            </w:r>
            <w:r>
              <w:rPr>
                <w:sz w:val="15"/>
                <w:szCs w:val="15"/>
              </w:rPr>
              <w:t>5</w:t>
            </w:r>
            <w:r w:rsidRPr="009C7364">
              <w:rPr>
                <w:sz w:val="15"/>
                <w:szCs w:val="15"/>
              </w:rPr>
              <w:t>**</w:t>
            </w:r>
          </w:p>
          <w:p w14:paraId="7114A49F" w14:textId="77777777" w:rsidR="00A94A10" w:rsidRPr="009C7364" w:rsidRDefault="00A94A10" w:rsidP="00BE68EC">
            <w:pPr>
              <w:jc w:val="center"/>
              <w:rPr>
                <w:sz w:val="15"/>
                <w:szCs w:val="15"/>
              </w:rPr>
            </w:pPr>
            <w:r w:rsidRPr="009C7364">
              <w:rPr>
                <w:sz w:val="15"/>
                <w:szCs w:val="15"/>
              </w:rPr>
              <w:t>(0.019)</w:t>
            </w:r>
          </w:p>
        </w:tc>
        <w:tc>
          <w:tcPr>
            <w:tcW w:w="1984" w:type="dxa"/>
            <w:tcBorders>
              <w:right w:val="single" w:sz="4" w:space="0" w:color="auto"/>
            </w:tcBorders>
            <w:vAlign w:val="center"/>
          </w:tcPr>
          <w:p w14:paraId="3FFC5B3A" w14:textId="77777777" w:rsidR="00A94A10" w:rsidRPr="00636169" w:rsidRDefault="00A94A10" w:rsidP="00BE68EC">
            <w:pPr>
              <w:jc w:val="center"/>
              <w:rPr>
                <w:sz w:val="15"/>
                <w:szCs w:val="15"/>
              </w:rPr>
            </w:pPr>
            <w:r w:rsidRPr="00636169">
              <w:rPr>
                <w:sz w:val="15"/>
                <w:szCs w:val="15"/>
              </w:rPr>
              <w:t>0.036**</w:t>
            </w:r>
          </w:p>
          <w:p w14:paraId="4F449676" w14:textId="77777777" w:rsidR="00A94A10" w:rsidRPr="00636169" w:rsidRDefault="00A94A10" w:rsidP="00BE68EC">
            <w:pPr>
              <w:jc w:val="center"/>
              <w:rPr>
                <w:sz w:val="15"/>
                <w:szCs w:val="15"/>
              </w:rPr>
            </w:pPr>
            <w:r w:rsidRPr="00636169">
              <w:rPr>
                <w:sz w:val="15"/>
                <w:szCs w:val="15"/>
              </w:rPr>
              <w:t>(0.013)</w:t>
            </w:r>
          </w:p>
        </w:tc>
        <w:tc>
          <w:tcPr>
            <w:tcW w:w="1560" w:type="dxa"/>
            <w:tcBorders>
              <w:left w:val="single" w:sz="4" w:space="0" w:color="auto"/>
            </w:tcBorders>
            <w:vAlign w:val="center"/>
          </w:tcPr>
          <w:p w14:paraId="154D1745" w14:textId="77777777" w:rsidR="00A94A10" w:rsidRPr="00636169" w:rsidRDefault="00A94A10" w:rsidP="00BE68EC">
            <w:pPr>
              <w:jc w:val="center"/>
              <w:rPr>
                <w:sz w:val="15"/>
                <w:szCs w:val="15"/>
              </w:rPr>
            </w:pPr>
            <w:r w:rsidRPr="00636169">
              <w:rPr>
                <w:sz w:val="15"/>
                <w:szCs w:val="15"/>
              </w:rPr>
              <w:t>0.06</w:t>
            </w:r>
            <w:r>
              <w:rPr>
                <w:sz w:val="15"/>
                <w:szCs w:val="15"/>
              </w:rPr>
              <w:t>1</w:t>
            </w:r>
            <w:r w:rsidRPr="00636169">
              <w:rPr>
                <w:sz w:val="15"/>
                <w:szCs w:val="15"/>
              </w:rPr>
              <w:t>*</w:t>
            </w:r>
          </w:p>
          <w:p w14:paraId="498262D8" w14:textId="77777777" w:rsidR="00A94A10" w:rsidRPr="00636169" w:rsidRDefault="00A94A10" w:rsidP="00BE68EC">
            <w:pPr>
              <w:jc w:val="center"/>
              <w:rPr>
                <w:sz w:val="15"/>
                <w:szCs w:val="15"/>
              </w:rPr>
            </w:pPr>
            <w:r w:rsidRPr="00636169">
              <w:rPr>
                <w:sz w:val="15"/>
                <w:szCs w:val="15"/>
              </w:rPr>
              <w:t>(0.028)</w:t>
            </w:r>
          </w:p>
        </w:tc>
        <w:tc>
          <w:tcPr>
            <w:tcW w:w="1557" w:type="dxa"/>
            <w:vAlign w:val="center"/>
          </w:tcPr>
          <w:p w14:paraId="2A16DBD3" w14:textId="77777777" w:rsidR="00A94A10" w:rsidRPr="00636169" w:rsidRDefault="00A94A10" w:rsidP="00BE68EC">
            <w:pPr>
              <w:jc w:val="center"/>
              <w:rPr>
                <w:sz w:val="15"/>
                <w:szCs w:val="15"/>
              </w:rPr>
            </w:pPr>
            <w:r w:rsidRPr="00636169">
              <w:rPr>
                <w:sz w:val="15"/>
                <w:szCs w:val="15"/>
              </w:rPr>
              <w:t>0.0</w:t>
            </w:r>
            <w:r>
              <w:rPr>
                <w:sz w:val="15"/>
                <w:szCs w:val="15"/>
              </w:rPr>
              <w:t>28</w:t>
            </w:r>
          </w:p>
          <w:p w14:paraId="49FC01F2" w14:textId="77777777" w:rsidR="00A94A10" w:rsidRPr="00636169" w:rsidRDefault="00A94A10" w:rsidP="00BE68EC">
            <w:pPr>
              <w:jc w:val="center"/>
              <w:rPr>
                <w:sz w:val="15"/>
                <w:szCs w:val="15"/>
              </w:rPr>
            </w:pPr>
            <w:r w:rsidRPr="00636169">
              <w:rPr>
                <w:sz w:val="15"/>
                <w:szCs w:val="15"/>
              </w:rPr>
              <w:t>(0.02</w:t>
            </w:r>
            <w:r>
              <w:rPr>
                <w:sz w:val="15"/>
                <w:szCs w:val="15"/>
              </w:rPr>
              <w:t>3</w:t>
            </w:r>
            <w:r w:rsidRPr="00636169">
              <w:rPr>
                <w:sz w:val="15"/>
                <w:szCs w:val="15"/>
              </w:rPr>
              <w:t>)</w:t>
            </w:r>
          </w:p>
        </w:tc>
        <w:tc>
          <w:tcPr>
            <w:tcW w:w="239" w:type="dxa"/>
          </w:tcPr>
          <w:p w14:paraId="63E38803" w14:textId="77777777" w:rsidR="00A94A10" w:rsidRPr="00636169" w:rsidRDefault="00A94A10" w:rsidP="00BE68EC">
            <w:pPr>
              <w:jc w:val="center"/>
              <w:rPr>
                <w:sz w:val="16"/>
                <w:szCs w:val="16"/>
              </w:rPr>
            </w:pPr>
          </w:p>
        </w:tc>
      </w:tr>
      <w:tr w:rsidR="00A94A10" w:rsidRPr="00636169" w14:paraId="41E7FBA9" w14:textId="77777777" w:rsidTr="00BE68EC">
        <w:trPr>
          <w:gridAfter w:val="1"/>
          <w:wAfter w:w="1560" w:type="dxa"/>
        </w:trPr>
        <w:tc>
          <w:tcPr>
            <w:tcW w:w="1913" w:type="dxa"/>
            <w:vAlign w:val="center"/>
          </w:tcPr>
          <w:p w14:paraId="4EBEA20E" w14:textId="77777777" w:rsidR="00A94A10" w:rsidRPr="009C7364" w:rsidRDefault="00A94A10" w:rsidP="00BE68EC">
            <w:pPr>
              <w:rPr>
                <w:b/>
                <w:bCs/>
                <w:sz w:val="15"/>
                <w:szCs w:val="15"/>
              </w:rPr>
            </w:pPr>
            <w:r w:rsidRPr="009C7364">
              <w:rPr>
                <w:sz w:val="15"/>
                <w:szCs w:val="15"/>
              </w:rPr>
              <w:t xml:space="preserve"> Student</w:t>
            </w:r>
          </w:p>
        </w:tc>
        <w:tc>
          <w:tcPr>
            <w:tcW w:w="1773" w:type="dxa"/>
            <w:vAlign w:val="center"/>
          </w:tcPr>
          <w:p w14:paraId="025BDD43" w14:textId="77777777" w:rsidR="00A94A10" w:rsidRPr="009C7364" w:rsidRDefault="00A94A10" w:rsidP="00BE68EC">
            <w:pPr>
              <w:jc w:val="center"/>
              <w:rPr>
                <w:sz w:val="15"/>
                <w:szCs w:val="15"/>
              </w:rPr>
            </w:pPr>
            <w:r w:rsidRPr="009C7364">
              <w:rPr>
                <w:sz w:val="15"/>
                <w:szCs w:val="15"/>
              </w:rPr>
              <w:t>0.037*</w:t>
            </w:r>
          </w:p>
          <w:p w14:paraId="19441594" w14:textId="77777777" w:rsidR="00A94A10" w:rsidRPr="009C7364" w:rsidRDefault="00A94A10" w:rsidP="00BE68EC">
            <w:pPr>
              <w:jc w:val="center"/>
              <w:rPr>
                <w:sz w:val="15"/>
                <w:szCs w:val="15"/>
              </w:rPr>
            </w:pPr>
            <w:r w:rsidRPr="009C7364">
              <w:rPr>
                <w:sz w:val="15"/>
                <w:szCs w:val="15"/>
              </w:rPr>
              <w:t>(0.016)</w:t>
            </w:r>
          </w:p>
        </w:tc>
        <w:tc>
          <w:tcPr>
            <w:tcW w:w="1984" w:type="dxa"/>
            <w:tcBorders>
              <w:right w:val="single" w:sz="4" w:space="0" w:color="auto"/>
            </w:tcBorders>
            <w:vAlign w:val="center"/>
          </w:tcPr>
          <w:p w14:paraId="63FC981F" w14:textId="77777777" w:rsidR="00A94A10" w:rsidRPr="00636169" w:rsidRDefault="00A94A10" w:rsidP="00BE68EC">
            <w:pPr>
              <w:jc w:val="center"/>
              <w:rPr>
                <w:sz w:val="15"/>
                <w:szCs w:val="15"/>
              </w:rPr>
            </w:pPr>
            <w:r w:rsidRPr="00636169">
              <w:rPr>
                <w:sz w:val="15"/>
                <w:szCs w:val="15"/>
              </w:rPr>
              <w:t>0.030*</w:t>
            </w:r>
          </w:p>
          <w:p w14:paraId="6C64C76F" w14:textId="77777777" w:rsidR="00A94A10" w:rsidRPr="00636169" w:rsidRDefault="00A94A10" w:rsidP="00BE68EC">
            <w:pPr>
              <w:jc w:val="center"/>
              <w:rPr>
                <w:sz w:val="15"/>
                <w:szCs w:val="15"/>
              </w:rPr>
            </w:pPr>
            <w:r w:rsidRPr="00636169">
              <w:rPr>
                <w:sz w:val="15"/>
                <w:szCs w:val="15"/>
              </w:rPr>
              <w:t>(0.014)</w:t>
            </w:r>
          </w:p>
        </w:tc>
        <w:tc>
          <w:tcPr>
            <w:tcW w:w="1560" w:type="dxa"/>
            <w:tcBorders>
              <w:left w:val="single" w:sz="4" w:space="0" w:color="auto"/>
            </w:tcBorders>
            <w:vAlign w:val="center"/>
          </w:tcPr>
          <w:p w14:paraId="7143D5EC" w14:textId="77777777" w:rsidR="00A94A10" w:rsidRPr="00636169" w:rsidRDefault="00A94A10" w:rsidP="00BE68EC">
            <w:pPr>
              <w:jc w:val="center"/>
              <w:rPr>
                <w:sz w:val="15"/>
                <w:szCs w:val="15"/>
              </w:rPr>
            </w:pPr>
            <w:r w:rsidRPr="00636169">
              <w:rPr>
                <w:sz w:val="15"/>
                <w:szCs w:val="15"/>
              </w:rPr>
              <w:t>0.015</w:t>
            </w:r>
          </w:p>
          <w:p w14:paraId="5272AE74" w14:textId="77777777" w:rsidR="00A94A10" w:rsidRPr="00636169" w:rsidRDefault="00A94A10" w:rsidP="00BE68EC">
            <w:pPr>
              <w:jc w:val="center"/>
              <w:rPr>
                <w:sz w:val="15"/>
                <w:szCs w:val="15"/>
              </w:rPr>
            </w:pPr>
            <w:r w:rsidRPr="00636169">
              <w:rPr>
                <w:sz w:val="15"/>
                <w:szCs w:val="15"/>
              </w:rPr>
              <w:t>(0.021)</w:t>
            </w:r>
          </w:p>
        </w:tc>
        <w:tc>
          <w:tcPr>
            <w:tcW w:w="1557" w:type="dxa"/>
            <w:vAlign w:val="center"/>
          </w:tcPr>
          <w:p w14:paraId="149B6B64" w14:textId="77777777" w:rsidR="00A94A10" w:rsidRPr="00636169" w:rsidRDefault="00A94A10" w:rsidP="00BE68EC">
            <w:pPr>
              <w:jc w:val="center"/>
              <w:rPr>
                <w:sz w:val="15"/>
                <w:szCs w:val="15"/>
              </w:rPr>
            </w:pPr>
            <w:r w:rsidRPr="00636169">
              <w:rPr>
                <w:sz w:val="15"/>
                <w:szCs w:val="15"/>
              </w:rPr>
              <w:t>0.0</w:t>
            </w:r>
            <w:r>
              <w:rPr>
                <w:sz w:val="15"/>
                <w:szCs w:val="15"/>
              </w:rPr>
              <w:t>06</w:t>
            </w:r>
          </w:p>
          <w:p w14:paraId="2973873D" w14:textId="77777777" w:rsidR="00A94A10" w:rsidRPr="00636169" w:rsidRDefault="00A94A10" w:rsidP="00BE68EC">
            <w:pPr>
              <w:jc w:val="center"/>
              <w:rPr>
                <w:sz w:val="15"/>
                <w:szCs w:val="15"/>
              </w:rPr>
            </w:pPr>
            <w:r w:rsidRPr="00636169">
              <w:rPr>
                <w:sz w:val="15"/>
                <w:szCs w:val="15"/>
              </w:rPr>
              <w:t>(0.02</w:t>
            </w:r>
            <w:r>
              <w:rPr>
                <w:sz w:val="15"/>
                <w:szCs w:val="15"/>
              </w:rPr>
              <w:t>0</w:t>
            </w:r>
            <w:r w:rsidRPr="00636169">
              <w:rPr>
                <w:sz w:val="15"/>
                <w:szCs w:val="15"/>
              </w:rPr>
              <w:t>)</w:t>
            </w:r>
          </w:p>
        </w:tc>
        <w:tc>
          <w:tcPr>
            <w:tcW w:w="239" w:type="dxa"/>
          </w:tcPr>
          <w:p w14:paraId="5017F392" w14:textId="77777777" w:rsidR="00A94A10" w:rsidRPr="00636169" w:rsidRDefault="00A94A10" w:rsidP="00BE68EC">
            <w:pPr>
              <w:jc w:val="center"/>
              <w:rPr>
                <w:sz w:val="16"/>
                <w:szCs w:val="16"/>
              </w:rPr>
            </w:pPr>
          </w:p>
        </w:tc>
      </w:tr>
      <w:tr w:rsidR="00A94A10" w:rsidRPr="00636169" w14:paraId="7806F550" w14:textId="77777777" w:rsidTr="00BE68EC">
        <w:trPr>
          <w:gridAfter w:val="1"/>
          <w:wAfter w:w="1560" w:type="dxa"/>
        </w:trPr>
        <w:tc>
          <w:tcPr>
            <w:tcW w:w="1913" w:type="dxa"/>
            <w:vAlign w:val="center"/>
          </w:tcPr>
          <w:p w14:paraId="7BAE5124" w14:textId="77777777" w:rsidR="00A94A10" w:rsidRPr="009C7364" w:rsidRDefault="00A94A10" w:rsidP="00BE68EC">
            <w:pPr>
              <w:rPr>
                <w:b/>
                <w:bCs/>
                <w:sz w:val="15"/>
                <w:szCs w:val="15"/>
              </w:rPr>
            </w:pPr>
            <w:r w:rsidRPr="009C7364">
              <w:rPr>
                <w:sz w:val="15"/>
                <w:szCs w:val="15"/>
              </w:rPr>
              <w:t xml:space="preserve"> Retired</w:t>
            </w:r>
          </w:p>
        </w:tc>
        <w:tc>
          <w:tcPr>
            <w:tcW w:w="1773" w:type="dxa"/>
            <w:vAlign w:val="center"/>
          </w:tcPr>
          <w:p w14:paraId="696BCE9B" w14:textId="77777777" w:rsidR="00A94A10" w:rsidRPr="009C7364" w:rsidRDefault="00A94A10" w:rsidP="00BE68EC">
            <w:pPr>
              <w:jc w:val="center"/>
              <w:rPr>
                <w:sz w:val="15"/>
                <w:szCs w:val="15"/>
              </w:rPr>
            </w:pPr>
            <w:r w:rsidRPr="009C7364">
              <w:rPr>
                <w:sz w:val="15"/>
                <w:szCs w:val="15"/>
              </w:rPr>
              <w:t>-0.005</w:t>
            </w:r>
          </w:p>
          <w:p w14:paraId="67E20C50" w14:textId="77777777" w:rsidR="00A94A10" w:rsidRPr="009C7364" w:rsidRDefault="00A94A10" w:rsidP="00BE68EC">
            <w:pPr>
              <w:jc w:val="center"/>
              <w:rPr>
                <w:sz w:val="15"/>
                <w:szCs w:val="15"/>
              </w:rPr>
            </w:pPr>
            <w:r w:rsidRPr="009C7364">
              <w:rPr>
                <w:sz w:val="15"/>
                <w:szCs w:val="15"/>
              </w:rPr>
              <w:t>(0.009)</w:t>
            </w:r>
          </w:p>
        </w:tc>
        <w:tc>
          <w:tcPr>
            <w:tcW w:w="1984" w:type="dxa"/>
            <w:tcBorders>
              <w:right w:val="single" w:sz="4" w:space="0" w:color="auto"/>
            </w:tcBorders>
            <w:vAlign w:val="center"/>
          </w:tcPr>
          <w:p w14:paraId="65FF4A80" w14:textId="77777777" w:rsidR="00A94A10" w:rsidRPr="00636169" w:rsidRDefault="00A94A10" w:rsidP="00BE68EC">
            <w:pPr>
              <w:jc w:val="center"/>
              <w:rPr>
                <w:sz w:val="15"/>
                <w:szCs w:val="15"/>
              </w:rPr>
            </w:pPr>
            <w:r w:rsidRPr="00636169">
              <w:rPr>
                <w:sz w:val="15"/>
                <w:szCs w:val="15"/>
              </w:rPr>
              <w:t>-0.007</w:t>
            </w:r>
          </w:p>
          <w:p w14:paraId="0DDA10DB" w14:textId="77777777" w:rsidR="00A94A10" w:rsidRPr="00636169" w:rsidRDefault="00A94A10" w:rsidP="00BE68EC">
            <w:pPr>
              <w:jc w:val="center"/>
              <w:rPr>
                <w:sz w:val="15"/>
                <w:szCs w:val="15"/>
              </w:rPr>
            </w:pPr>
            <w:r w:rsidRPr="00636169">
              <w:rPr>
                <w:sz w:val="15"/>
                <w:szCs w:val="15"/>
              </w:rPr>
              <w:t>(0.008)</w:t>
            </w:r>
          </w:p>
        </w:tc>
        <w:tc>
          <w:tcPr>
            <w:tcW w:w="1560" w:type="dxa"/>
            <w:tcBorders>
              <w:left w:val="single" w:sz="4" w:space="0" w:color="auto"/>
            </w:tcBorders>
            <w:vAlign w:val="center"/>
          </w:tcPr>
          <w:p w14:paraId="01C55ACF" w14:textId="77777777" w:rsidR="00A94A10" w:rsidRPr="00636169" w:rsidRDefault="00A94A10" w:rsidP="00BE68EC">
            <w:pPr>
              <w:jc w:val="center"/>
              <w:rPr>
                <w:sz w:val="15"/>
                <w:szCs w:val="15"/>
              </w:rPr>
            </w:pPr>
            <w:r w:rsidRPr="00636169">
              <w:rPr>
                <w:sz w:val="15"/>
                <w:szCs w:val="15"/>
              </w:rPr>
              <w:t>0.008</w:t>
            </w:r>
          </w:p>
          <w:p w14:paraId="0B3961FD" w14:textId="77777777" w:rsidR="00A94A10" w:rsidRPr="00636169" w:rsidRDefault="00A94A10" w:rsidP="00BE68EC">
            <w:pPr>
              <w:jc w:val="center"/>
              <w:rPr>
                <w:sz w:val="15"/>
                <w:szCs w:val="15"/>
              </w:rPr>
            </w:pPr>
            <w:r w:rsidRPr="00636169">
              <w:rPr>
                <w:sz w:val="15"/>
                <w:szCs w:val="15"/>
              </w:rPr>
              <w:t>(0.021)</w:t>
            </w:r>
          </w:p>
        </w:tc>
        <w:tc>
          <w:tcPr>
            <w:tcW w:w="1557" w:type="dxa"/>
            <w:vAlign w:val="center"/>
          </w:tcPr>
          <w:p w14:paraId="3370CF86" w14:textId="77777777" w:rsidR="00A94A10" w:rsidRPr="00636169" w:rsidRDefault="00A94A10" w:rsidP="00BE68EC">
            <w:pPr>
              <w:jc w:val="center"/>
              <w:rPr>
                <w:sz w:val="15"/>
                <w:szCs w:val="15"/>
              </w:rPr>
            </w:pPr>
            <w:r w:rsidRPr="00636169">
              <w:rPr>
                <w:sz w:val="15"/>
                <w:szCs w:val="15"/>
              </w:rPr>
              <w:t>0.00</w:t>
            </w:r>
            <w:r>
              <w:rPr>
                <w:sz w:val="15"/>
                <w:szCs w:val="15"/>
              </w:rPr>
              <w:t>4</w:t>
            </w:r>
          </w:p>
          <w:p w14:paraId="09D62363" w14:textId="77777777" w:rsidR="00A94A10" w:rsidRPr="00636169" w:rsidRDefault="00A94A10" w:rsidP="00BE68EC">
            <w:pPr>
              <w:jc w:val="center"/>
              <w:rPr>
                <w:sz w:val="15"/>
                <w:szCs w:val="15"/>
              </w:rPr>
            </w:pPr>
            <w:r w:rsidRPr="00636169">
              <w:rPr>
                <w:sz w:val="15"/>
                <w:szCs w:val="15"/>
              </w:rPr>
              <w:t>(0.0</w:t>
            </w:r>
            <w:r>
              <w:rPr>
                <w:sz w:val="15"/>
                <w:szCs w:val="15"/>
              </w:rPr>
              <w:t>19</w:t>
            </w:r>
            <w:r w:rsidRPr="00636169">
              <w:rPr>
                <w:sz w:val="15"/>
                <w:szCs w:val="15"/>
              </w:rPr>
              <w:t>)</w:t>
            </w:r>
          </w:p>
        </w:tc>
        <w:tc>
          <w:tcPr>
            <w:tcW w:w="239" w:type="dxa"/>
          </w:tcPr>
          <w:p w14:paraId="77183DC7" w14:textId="77777777" w:rsidR="00A94A10" w:rsidRPr="00636169" w:rsidRDefault="00A94A10" w:rsidP="00BE68EC">
            <w:pPr>
              <w:jc w:val="center"/>
              <w:rPr>
                <w:sz w:val="16"/>
                <w:szCs w:val="16"/>
              </w:rPr>
            </w:pPr>
          </w:p>
        </w:tc>
      </w:tr>
      <w:tr w:rsidR="00A94A10" w:rsidRPr="00636169" w14:paraId="18B9D31A" w14:textId="77777777" w:rsidTr="00BE68EC">
        <w:trPr>
          <w:gridAfter w:val="1"/>
          <w:wAfter w:w="1560" w:type="dxa"/>
        </w:trPr>
        <w:tc>
          <w:tcPr>
            <w:tcW w:w="1913" w:type="dxa"/>
            <w:vAlign w:val="center"/>
          </w:tcPr>
          <w:p w14:paraId="3DFDE397" w14:textId="77777777" w:rsidR="00A94A10" w:rsidRPr="009C7364" w:rsidRDefault="00A94A10" w:rsidP="00BE68EC">
            <w:pPr>
              <w:rPr>
                <w:b/>
                <w:bCs/>
                <w:sz w:val="15"/>
                <w:szCs w:val="15"/>
              </w:rPr>
            </w:pPr>
            <w:r w:rsidRPr="009C7364">
              <w:rPr>
                <w:sz w:val="15"/>
                <w:szCs w:val="15"/>
              </w:rPr>
              <w:t xml:space="preserve"> Looking after the home/other</w:t>
            </w:r>
          </w:p>
        </w:tc>
        <w:tc>
          <w:tcPr>
            <w:tcW w:w="1773" w:type="dxa"/>
            <w:vAlign w:val="center"/>
          </w:tcPr>
          <w:p w14:paraId="5010F67D" w14:textId="77777777" w:rsidR="00A94A10" w:rsidRPr="009C7364" w:rsidRDefault="00A94A10" w:rsidP="00BE68EC">
            <w:pPr>
              <w:jc w:val="center"/>
              <w:rPr>
                <w:sz w:val="15"/>
                <w:szCs w:val="15"/>
              </w:rPr>
            </w:pPr>
            <w:r w:rsidRPr="009C7364">
              <w:rPr>
                <w:sz w:val="15"/>
                <w:szCs w:val="15"/>
              </w:rPr>
              <w:t>0.022*</w:t>
            </w:r>
          </w:p>
          <w:p w14:paraId="35CD030F" w14:textId="77777777" w:rsidR="00A94A10" w:rsidRPr="009C7364" w:rsidRDefault="00A94A10" w:rsidP="00BE68EC">
            <w:pPr>
              <w:jc w:val="center"/>
              <w:rPr>
                <w:sz w:val="15"/>
                <w:szCs w:val="15"/>
              </w:rPr>
            </w:pPr>
            <w:r w:rsidRPr="009C7364">
              <w:rPr>
                <w:sz w:val="15"/>
                <w:szCs w:val="15"/>
              </w:rPr>
              <w:t>(0.010)</w:t>
            </w:r>
          </w:p>
        </w:tc>
        <w:tc>
          <w:tcPr>
            <w:tcW w:w="1984" w:type="dxa"/>
            <w:tcBorders>
              <w:right w:val="single" w:sz="4" w:space="0" w:color="auto"/>
            </w:tcBorders>
            <w:vAlign w:val="center"/>
          </w:tcPr>
          <w:p w14:paraId="14FB34A3" w14:textId="77777777" w:rsidR="00A94A10" w:rsidRPr="00636169" w:rsidRDefault="00A94A10" w:rsidP="00BE68EC">
            <w:pPr>
              <w:jc w:val="center"/>
              <w:rPr>
                <w:sz w:val="15"/>
                <w:szCs w:val="15"/>
                <w:vertAlign w:val="superscript"/>
              </w:rPr>
            </w:pPr>
            <w:r w:rsidRPr="00636169">
              <w:rPr>
                <w:sz w:val="15"/>
                <w:szCs w:val="15"/>
              </w:rPr>
              <w:t>0.014</w:t>
            </w:r>
            <w:r w:rsidRPr="00636169">
              <w:rPr>
                <w:sz w:val="15"/>
                <w:szCs w:val="15"/>
                <w:vertAlign w:val="superscript"/>
              </w:rPr>
              <w:t>+</w:t>
            </w:r>
          </w:p>
          <w:p w14:paraId="041F110F" w14:textId="77777777" w:rsidR="00A94A10" w:rsidRPr="00636169" w:rsidRDefault="00A94A10" w:rsidP="00BE68EC">
            <w:pPr>
              <w:jc w:val="center"/>
              <w:rPr>
                <w:sz w:val="15"/>
                <w:szCs w:val="15"/>
              </w:rPr>
            </w:pPr>
            <w:r w:rsidRPr="00636169">
              <w:rPr>
                <w:sz w:val="15"/>
                <w:szCs w:val="15"/>
              </w:rPr>
              <w:t>(0.008)</w:t>
            </w:r>
          </w:p>
        </w:tc>
        <w:tc>
          <w:tcPr>
            <w:tcW w:w="1560" w:type="dxa"/>
            <w:tcBorders>
              <w:left w:val="single" w:sz="4" w:space="0" w:color="auto"/>
            </w:tcBorders>
            <w:vAlign w:val="center"/>
          </w:tcPr>
          <w:p w14:paraId="36DE16A2" w14:textId="77777777" w:rsidR="00A94A10" w:rsidRPr="00636169" w:rsidRDefault="00A94A10" w:rsidP="00BE68EC">
            <w:pPr>
              <w:jc w:val="center"/>
              <w:rPr>
                <w:sz w:val="15"/>
                <w:szCs w:val="15"/>
              </w:rPr>
            </w:pPr>
            <w:r w:rsidRPr="00636169">
              <w:rPr>
                <w:sz w:val="15"/>
                <w:szCs w:val="15"/>
              </w:rPr>
              <w:t>0.055**</w:t>
            </w:r>
          </w:p>
          <w:p w14:paraId="011728CF" w14:textId="77777777" w:rsidR="00A94A10" w:rsidRPr="00636169" w:rsidRDefault="00A94A10" w:rsidP="00BE68EC">
            <w:pPr>
              <w:jc w:val="center"/>
              <w:rPr>
                <w:sz w:val="15"/>
                <w:szCs w:val="15"/>
              </w:rPr>
            </w:pPr>
            <w:r w:rsidRPr="00636169">
              <w:rPr>
                <w:sz w:val="15"/>
                <w:szCs w:val="15"/>
              </w:rPr>
              <w:t>(0.018)</w:t>
            </w:r>
          </w:p>
        </w:tc>
        <w:tc>
          <w:tcPr>
            <w:tcW w:w="1557" w:type="dxa"/>
            <w:vAlign w:val="center"/>
          </w:tcPr>
          <w:p w14:paraId="70854C83" w14:textId="77777777" w:rsidR="00A94A10" w:rsidRPr="00636169" w:rsidRDefault="00A94A10" w:rsidP="00BE68EC">
            <w:pPr>
              <w:jc w:val="center"/>
              <w:rPr>
                <w:sz w:val="15"/>
                <w:szCs w:val="15"/>
              </w:rPr>
            </w:pPr>
            <w:r w:rsidRPr="00636169">
              <w:rPr>
                <w:sz w:val="15"/>
                <w:szCs w:val="15"/>
              </w:rPr>
              <w:t>0.0</w:t>
            </w:r>
            <w:r>
              <w:rPr>
                <w:sz w:val="15"/>
                <w:szCs w:val="15"/>
              </w:rPr>
              <w:t>3</w:t>
            </w:r>
            <w:r w:rsidRPr="00636169">
              <w:rPr>
                <w:sz w:val="15"/>
                <w:szCs w:val="15"/>
              </w:rPr>
              <w:t>5**</w:t>
            </w:r>
          </w:p>
          <w:p w14:paraId="44D52A16" w14:textId="77777777" w:rsidR="00A94A10" w:rsidRPr="00636169" w:rsidRDefault="00A94A10" w:rsidP="00BE68EC">
            <w:pPr>
              <w:jc w:val="center"/>
              <w:rPr>
                <w:sz w:val="15"/>
                <w:szCs w:val="15"/>
              </w:rPr>
            </w:pPr>
            <w:r w:rsidRPr="00636169">
              <w:rPr>
                <w:sz w:val="15"/>
                <w:szCs w:val="15"/>
              </w:rPr>
              <w:t>(0.01</w:t>
            </w:r>
            <w:r>
              <w:rPr>
                <w:sz w:val="15"/>
                <w:szCs w:val="15"/>
              </w:rPr>
              <w:t>7</w:t>
            </w:r>
            <w:r w:rsidRPr="00636169">
              <w:rPr>
                <w:sz w:val="15"/>
                <w:szCs w:val="15"/>
              </w:rPr>
              <w:t>)</w:t>
            </w:r>
          </w:p>
        </w:tc>
        <w:tc>
          <w:tcPr>
            <w:tcW w:w="239" w:type="dxa"/>
          </w:tcPr>
          <w:p w14:paraId="40BC73F8" w14:textId="77777777" w:rsidR="00A94A10" w:rsidRPr="00636169" w:rsidRDefault="00A94A10" w:rsidP="00BE68EC">
            <w:pPr>
              <w:jc w:val="center"/>
              <w:rPr>
                <w:sz w:val="16"/>
                <w:szCs w:val="16"/>
              </w:rPr>
            </w:pPr>
          </w:p>
        </w:tc>
      </w:tr>
      <w:tr w:rsidR="00A94A10" w:rsidRPr="00636169" w14:paraId="6E4684D4" w14:textId="77777777" w:rsidTr="00BE68EC">
        <w:trPr>
          <w:gridAfter w:val="1"/>
          <w:wAfter w:w="1560" w:type="dxa"/>
        </w:trPr>
        <w:tc>
          <w:tcPr>
            <w:tcW w:w="1913" w:type="dxa"/>
            <w:vAlign w:val="center"/>
          </w:tcPr>
          <w:p w14:paraId="2BE45667" w14:textId="77777777" w:rsidR="00A94A10" w:rsidRPr="009C7364" w:rsidRDefault="00A94A10" w:rsidP="00BE68EC">
            <w:pPr>
              <w:rPr>
                <w:b/>
                <w:bCs/>
                <w:sz w:val="15"/>
                <w:szCs w:val="15"/>
              </w:rPr>
            </w:pPr>
            <w:r w:rsidRPr="009C7364">
              <w:rPr>
                <w:i/>
                <w:iCs/>
                <w:sz w:val="15"/>
                <w:szCs w:val="15"/>
              </w:rPr>
              <w:t>Region (Ref: Dublin)</w:t>
            </w:r>
          </w:p>
        </w:tc>
        <w:tc>
          <w:tcPr>
            <w:tcW w:w="1773" w:type="dxa"/>
            <w:vAlign w:val="center"/>
          </w:tcPr>
          <w:p w14:paraId="71D36B9B" w14:textId="77777777" w:rsidR="00A94A10" w:rsidRPr="009C7364" w:rsidRDefault="00A94A10" w:rsidP="00BE68EC">
            <w:pPr>
              <w:jc w:val="center"/>
              <w:rPr>
                <w:sz w:val="15"/>
                <w:szCs w:val="15"/>
              </w:rPr>
            </w:pPr>
          </w:p>
        </w:tc>
        <w:tc>
          <w:tcPr>
            <w:tcW w:w="1984" w:type="dxa"/>
            <w:tcBorders>
              <w:right w:val="single" w:sz="4" w:space="0" w:color="auto"/>
            </w:tcBorders>
            <w:vAlign w:val="center"/>
          </w:tcPr>
          <w:p w14:paraId="56D4105E" w14:textId="77777777" w:rsidR="00A94A10" w:rsidRPr="00636169" w:rsidRDefault="00A94A10" w:rsidP="00BE68EC">
            <w:pPr>
              <w:jc w:val="center"/>
              <w:rPr>
                <w:sz w:val="15"/>
                <w:szCs w:val="15"/>
              </w:rPr>
            </w:pPr>
          </w:p>
        </w:tc>
        <w:tc>
          <w:tcPr>
            <w:tcW w:w="1560" w:type="dxa"/>
            <w:tcBorders>
              <w:left w:val="single" w:sz="4" w:space="0" w:color="auto"/>
            </w:tcBorders>
            <w:vAlign w:val="center"/>
          </w:tcPr>
          <w:p w14:paraId="2084D81E" w14:textId="77777777" w:rsidR="00A94A10" w:rsidRPr="00636169" w:rsidRDefault="00A94A10" w:rsidP="00BE68EC">
            <w:pPr>
              <w:jc w:val="center"/>
              <w:rPr>
                <w:sz w:val="15"/>
                <w:szCs w:val="15"/>
              </w:rPr>
            </w:pPr>
          </w:p>
        </w:tc>
        <w:tc>
          <w:tcPr>
            <w:tcW w:w="1557" w:type="dxa"/>
            <w:vAlign w:val="center"/>
          </w:tcPr>
          <w:p w14:paraId="2363B4F1" w14:textId="77777777" w:rsidR="00A94A10" w:rsidRPr="00636169" w:rsidRDefault="00A94A10" w:rsidP="00BE68EC">
            <w:pPr>
              <w:jc w:val="center"/>
              <w:rPr>
                <w:sz w:val="15"/>
                <w:szCs w:val="15"/>
              </w:rPr>
            </w:pPr>
          </w:p>
        </w:tc>
        <w:tc>
          <w:tcPr>
            <w:tcW w:w="239" w:type="dxa"/>
          </w:tcPr>
          <w:p w14:paraId="43214450" w14:textId="77777777" w:rsidR="00A94A10" w:rsidRPr="00636169" w:rsidRDefault="00A94A10" w:rsidP="00BE68EC">
            <w:pPr>
              <w:jc w:val="center"/>
              <w:rPr>
                <w:sz w:val="16"/>
                <w:szCs w:val="16"/>
              </w:rPr>
            </w:pPr>
          </w:p>
        </w:tc>
      </w:tr>
      <w:tr w:rsidR="00A94A10" w:rsidRPr="00636169" w14:paraId="2A4D44E2" w14:textId="77777777" w:rsidTr="00BE68EC">
        <w:trPr>
          <w:gridAfter w:val="1"/>
          <w:wAfter w:w="1560" w:type="dxa"/>
        </w:trPr>
        <w:tc>
          <w:tcPr>
            <w:tcW w:w="1913" w:type="dxa"/>
            <w:vAlign w:val="center"/>
          </w:tcPr>
          <w:p w14:paraId="2262BC11" w14:textId="77777777" w:rsidR="00A94A10" w:rsidRPr="009C7364" w:rsidRDefault="00A94A10" w:rsidP="00BE68EC">
            <w:pPr>
              <w:rPr>
                <w:b/>
                <w:bCs/>
                <w:sz w:val="15"/>
                <w:szCs w:val="15"/>
              </w:rPr>
            </w:pPr>
            <w:r w:rsidRPr="009C7364">
              <w:rPr>
                <w:sz w:val="15"/>
                <w:szCs w:val="15"/>
              </w:rPr>
              <w:t xml:space="preserve"> Rest of Leinster</w:t>
            </w:r>
          </w:p>
        </w:tc>
        <w:tc>
          <w:tcPr>
            <w:tcW w:w="1773" w:type="dxa"/>
            <w:vAlign w:val="center"/>
          </w:tcPr>
          <w:p w14:paraId="40D5A62D" w14:textId="77777777" w:rsidR="00A94A10" w:rsidRPr="009C7364" w:rsidRDefault="00A94A10" w:rsidP="00BE68EC">
            <w:pPr>
              <w:jc w:val="center"/>
              <w:rPr>
                <w:sz w:val="15"/>
                <w:szCs w:val="15"/>
              </w:rPr>
            </w:pPr>
            <w:r w:rsidRPr="009C7364">
              <w:rPr>
                <w:sz w:val="15"/>
                <w:szCs w:val="15"/>
              </w:rPr>
              <w:t>-0.011</w:t>
            </w:r>
          </w:p>
          <w:p w14:paraId="5F54E98F" w14:textId="77777777" w:rsidR="00A94A10" w:rsidRPr="009C7364" w:rsidRDefault="00A94A10" w:rsidP="00BE68EC">
            <w:pPr>
              <w:jc w:val="center"/>
              <w:rPr>
                <w:sz w:val="15"/>
                <w:szCs w:val="15"/>
              </w:rPr>
            </w:pPr>
            <w:r w:rsidRPr="009C7364">
              <w:rPr>
                <w:sz w:val="15"/>
                <w:szCs w:val="15"/>
              </w:rPr>
              <w:t>(0.008)</w:t>
            </w:r>
          </w:p>
        </w:tc>
        <w:tc>
          <w:tcPr>
            <w:tcW w:w="1984" w:type="dxa"/>
            <w:tcBorders>
              <w:right w:val="single" w:sz="4" w:space="0" w:color="auto"/>
            </w:tcBorders>
            <w:vAlign w:val="center"/>
          </w:tcPr>
          <w:p w14:paraId="5790EB4A" w14:textId="77777777" w:rsidR="00A94A10" w:rsidRPr="00636169" w:rsidRDefault="00A94A10" w:rsidP="00BE68EC">
            <w:pPr>
              <w:jc w:val="center"/>
              <w:rPr>
                <w:sz w:val="15"/>
                <w:szCs w:val="15"/>
              </w:rPr>
            </w:pPr>
            <w:r w:rsidRPr="00636169">
              <w:rPr>
                <w:sz w:val="15"/>
                <w:szCs w:val="15"/>
              </w:rPr>
              <w:t>-0.009</w:t>
            </w:r>
          </w:p>
          <w:p w14:paraId="6D9F55A4" w14:textId="77777777" w:rsidR="00A94A10" w:rsidRPr="00636169" w:rsidRDefault="00A94A10" w:rsidP="00BE68EC">
            <w:pPr>
              <w:jc w:val="center"/>
              <w:rPr>
                <w:sz w:val="15"/>
                <w:szCs w:val="15"/>
              </w:rPr>
            </w:pPr>
            <w:r w:rsidRPr="00636169">
              <w:rPr>
                <w:sz w:val="15"/>
                <w:szCs w:val="15"/>
              </w:rPr>
              <w:t>(0.007)</w:t>
            </w:r>
          </w:p>
        </w:tc>
        <w:tc>
          <w:tcPr>
            <w:tcW w:w="1560" w:type="dxa"/>
            <w:tcBorders>
              <w:left w:val="single" w:sz="4" w:space="0" w:color="auto"/>
            </w:tcBorders>
            <w:vAlign w:val="center"/>
          </w:tcPr>
          <w:p w14:paraId="14A553AA" w14:textId="77777777" w:rsidR="00A94A10" w:rsidRPr="00636169" w:rsidRDefault="00A94A10" w:rsidP="00BE68EC">
            <w:pPr>
              <w:jc w:val="center"/>
              <w:rPr>
                <w:sz w:val="15"/>
                <w:szCs w:val="15"/>
              </w:rPr>
            </w:pPr>
            <w:r w:rsidRPr="00636169">
              <w:rPr>
                <w:sz w:val="15"/>
                <w:szCs w:val="15"/>
              </w:rPr>
              <w:t>-0.029*</w:t>
            </w:r>
          </w:p>
          <w:p w14:paraId="25876791" w14:textId="77777777" w:rsidR="00A94A10" w:rsidRPr="00636169" w:rsidRDefault="00A94A10" w:rsidP="00BE68EC">
            <w:pPr>
              <w:jc w:val="center"/>
              <w:rPr>
                <w:sz w:val="15"/>
                <w:szCs w:val="15"/>
              </w:rPr>
            </w:pPr>
            <w:r w:rsidRPr="00636169">
              <w:rPr>
                <w:sz w:val="15"/>
                <w:szCs w:val="15"/>
              </w:rPr>
              <w:t>(0.013)</w:t>
            </w:r>
          </w:p>
        </w:tc>
        <w:tc>
          <w:tcPr>
            <w:tcW w:w="1557" w:type="dxa"/>
            <w:vAlign w:val="center"/>
          </w:tcPr>
          <w:p w14:paraId="569CF21A" w14:textId="77777777" w:rsidR="00A94A10" w:rsidRPr="00636169" w:rsidRDefault="00A94A10" w:rsidP="00BE68EC">
            <w:pPr>
              <w:jc w:val="center"/>
              <w:rPr>
                <w:sz w:val="15"/>
                <w:szCs w:val="15"/>
              </w:rPr>
            </w:pPr>
            <w:r w:rsidRPr="00636169">
              <w:rPr>
                <w:sz w:val="15"/>
                <w:szCs w:val="15"/>
              </w:rPr>
              <w:t>-0.02</w:t>
            </w:r>
            <w:r>
              <w:rPr>
                <w:sz w:val="15"/>
                <w:szCs w:val="15"/>
              </w:rPr>
              <w:t>6</w:t>
            </w:r>
            <w:r w:rsidRPr="00636169">
              <w:rPr>
                <w:sz w:val="15"/>
                <w:szCs w:val="15"/>
              </w:rPr>
              <w:t>*</w:t>
            </w:r>
          </w:p>
          <w:p w14:paraId="5E00B3C6" w14:textId="77777777" w:rsidR="00A94A10" w:rsidRPr="00636169" w:rsidRDefault="00A94A10" w:rsidP="00BE68EC">
            <w:pPr>
              <w:jc w:val="center"/>
              <w:rPr>
                <w:sz w:val="15"/>
                <w:szCs w:val="15"/>
              </w:rPr>
            </w:pPr>
            <w:r w:rsidRPr="00636169">
              <w:rPr>
                <w:sz w:val="15"/>
                <w:szCs w:val="15"/>
              </w:rPr>
              <w:t>(0.01</w:t>
            </w:r>
            <w:r>
              <w:rPr>
                <w:sz w:val="15"/>
                <w:szCs w:val="15"/>
              </w:rPr>
              <w:t>2</w:t>
            </w:r>
            <w:r w:rsidRPr="00636169">
              <w:rPr>
                <w:sz w:val="15"/>
                <w:szCs w:val="15"/>
              </w:rPr>
              <w:t>)</w:t>
            </w:r>
          </w:p>
        </w:tc>
        <w:tc>
          <w:tcPr>
            <w:tcW w:w="239" w:type="dxa"/>
          </w:tcPr>
          <w:p w14:paraId="5BFD9516" w14:textId="77777777" w:rsidR="00A94A10" w:rsidRPr="00636169" w:rsidRDefault="00A94A10" w:rsidP="00BE68EC">
            <w:pPr>
              <w:jc w:val="center"/>
              <w:rPr>
                <w:sz w:val="16"/>
                <w:szCs w:val="16"/>
              </w:rPr>
            </w:pPr>
          </w:p>
        </w:tc>
      </w:tr>
      <w:tr w:rsidR="00A94A10" w:rsidRPr="00636169" w14:paraId="4C73928E" w14:textId="77777777" w:rsidTr="00BE68EC">
        <w:trPr>
          <w:gridAfter w:val="1"/>
          <w:wAfter w:w="1560" w:type="dxa"/>
        </w:trPr>
        <w:tc>
          <w:tcPr>
            <w:tcW w:w="1913" w:type="dxa"/>
            <w:vAlign w:val="center"/>
          </w:tcPr>
          <w:p w14:paraId="71586E69" w14:textId="77777777" w:rsidR="00A94A10" w:rsidRPr="009C7364" w:rsidRDefault="00A94A10" w:rsidP="00BE68EC">
            <w:pPr>
              <w:rPr>
                <w:b/>
                <w:bCs/>
                <w:sz w:val="15"/>
                <w:szCs w:val="15"/>
              </w:rPr>
            </w:pPr>
            <w:r w:rsidRPr="009C7364">
              <w:rPr>
                <w:sz w:val="15"/>
                <w:szCs w:val="15"/>
              </w:rPr>
              <w:t xml:space="preserve"> Munster</w:t>
            </w:r>
          </w:p>
        </w:tc>
        <w:tc>
          <w:tcPr>
            <w:tcW w:w="1773" w:type="dxa"/>
            <w:vAlign w:val="center"/>
          </w:tcPr>
          <w:p w14:paraId="6890A9F4" w14:textId="77777777" w:rsidR="00A94A10" w:rsidRPr="009C7364" w:rsidRDefault="00A94A10" w:rsidP="00BE68EC">
            <w:pPr>
              <w:jc w:val="center"/>
              <w:rPr>
                <w:sz w:val="15"/>
                <w:szCs w:val="15"/>
              </w:rPr>
            </w:pPr>
            <w:r w:rsidRPr="009C7364">
              <w:rPr>
                <w:sz w:val="15"/>
                <w:szCs w:val="15"/>
              </w:rPr>
              <w:t>-0.008</w:t>
            </w:r>
          </w:p>
          <w:p w14:paraId="10D4E091" w14:textId="77777777" w:rsidR="00A94A10" w:rsidRPr="009C7364" w:rsidRDefault="00A94A10" w:rsidP="00BE68EC">
            <w:pPr>
              <w:jc w:val="center"/>
              <w:rPr>
                <w:sz w:val="15"/>
                <w:szCs w:val="15"/>
              </w:rPr>
            </w:pPr>
            <w:r w:rsidRPr="009C7364">
              <w:rPr>
                <w:sz w:val="15"/>
                <w:szCs w:val="15"/>
              </w:rPr>
              <w:t>(0.00</w:t>
            </w:r>
            <w:r>
              <w:rPr>
                <w:sz w:val="15"/>
                <w:szCs w:val="15"/>
              </w:rPr>
              <w:t>8</w:t>
            </w:r>
            <w:r w:rsidRPr="009C7364">
              <w:rPr>
                <w:sz w:val="15"/>
                <w:szCs w:val="15"/>
              </w:rPr>
              <w:t>)</w:t>
            </w:r>
          </w:p>
        </w:tc>
        <w:tc>
          <w:tcPr>
            <w:tcW w:w="1984" w:type="dxa"/>
            <w:tcBorders>
              <w:right w:val="single" w:sz="4" w:space="0" w:color="auto"/>
            </w:tcBorders>
            <w:vAlign w:val="center"/>
          </w:tcPr>
          <w:p w14:paraId="51B7D5DE" w14:textId="77777777" w:rsidR="00A94A10" w:rsidRPr="00636169" w:rsidRDefault="00A94A10" w:rsidP="00BE68EC">
            <w:pPr>
              <w:jc w:val="center"/>
              <w:rPr>
                <w:sz w:val="15"/>
                <w:szCs w:val="15"/>
              </w:rPr>
            </w:pPr>
            <w:r w:rsidRPr="00636169">
              <w:rPr>
                <w:sz w:val="15"/>
                <w:szCs w:val="15"/>
              </w:rPr>
              <w:t>-0.009</w:t>
            </w:r>
          </w:p>
          <w:p w14:paraId="14949286" w14:textId="77777777" w:rsidR="00A94A10" w:rsidRPr="00636169" w:rsidRDefault="00A94A10" w:rsidP="00BE68EC">
            <w:pPr>
              <w:jc w:val="center"/>
              <w:rPr>
                <w:sz w:val="15"/>
                <w:szCs w:val="15"/>
              </w:rPr>
            </w:pPr>
            <w:r w:rsidRPr="00636169">
              <w:rPr>
                <w:sz w:val="15"/>
                <w:szCs w:val="15"/>
              </w:rPr>
              <w:t>(0.007)</w:t>
            </w:r>
          </w:p>
        </w:tc>
        <w:tc>
          <w:tcPr>
            <w:tcW w:w="1560" w:type="dxa"/>
            <w:tcBorders>
              <w:left w:val="single" w:sz="4" w:space="0" w:color="auto"/>
            </w:tcBorders>
            <w:vAlign w:val="center"/>
          </w:tcPr>
          <w:p w14:paraId="22C5CF3C" w14:textId="77777777" w:rsidR="00A94A10" w:rsidRPr="00636169" w:rsidRDefault="00A94A10" w:rsidP="00BE68EC">
            <w:pPr>
              <w:jc w:val="center"/>
              <w:rPr>
                <w:sz w:val="15"/>
                <w:szCs w:val="15"/>
                <w:vertAlign w:val="superscript"/>
              </w:rPr>
            </w:pPr>
            <w:r w:rsidRPr="00636169">
              <w:rPr>
                <w:sz w:val="15"/>
                <w:szCs w:val="15"/>
              </w:rPr>
              <w:t>-0.02</w:t>
            </w:r>
            <w:r>
              <w:rPr>
                <w:sz w:val="15"/>
                <w:szCs w:val="15"/>
              </w:rPr>
              <w:t>2</w:t>
            </w:r>
            <w:r w:rsidRPr="00636169">
              <w:rPr>
                <w:sz w:val="15"/>
                <w:szCs w:val="15"/>
                <w:vertAlign w:val="superscript"/>
              </w:rPr>
              <w:t>+</w:t>
            </w:r>
          </w:p>
          <w:p w14:paraId="19ABFF40" w14:textId="77777777" w:rsidR="00A94A10" w:rsidRPr="00636169" w:rsidRDefault="00A94A10" w:rsidP="00BE68EC">
            <w:pPr>
              <w:jc w:val="center"/>
              <w:rPr>
                <w:sz w:val="15"/>
                <w:szCs w:val="15"/>
              </w:rPr>
            </w:pPr>
            <w:r w:rsidRPr="00636169">
              <w:rPr>
                <w:sz w:val="15"/>
                <w:szCs w:val="15"/>
              </w:rPr>
              <w:t>(0.013)</w:t>
            </w:r>
          </w:p>
        </w:tc>
        <w:tc>
          <w:tcPr>
            <w:tcW w:w="1557" w:type="dxa"/>
            <w:vAlign w:val="center"/>
          </w:tcPr>
          <w:p w14:paraId="766BF48B" w14:textId="77777777" w:rsidR="00A94A10" w:rsidRPr="00636169" w:rsidRDefault="00A94A10" w:rsidP="00BE68EC">
            <w:pPr>
              <w:jc w:val="center"/>
              <w:rPr>
                <w:sz w:val="15"/>
                <w:szCs w:val="15"/>
                <w:vertAlign w:val="superscript"/>
              </w:rPr>
            </w:pPr>
            <w:r w:rsidRPr="00636169">
              <w:rPr>
                <w:sz w:val="15"/>
                <w:szCs w:val="15"/>
              </w:rPr>
              <w:t>-0.023</w:t>
            </w:r>
            <w:r w:rsidRPr="00636169">
              <w:rPr>
                <w:sz w:val="15"/>
                <w:szCs w:val="15"/>
                <w:vertAlign w:val="superscript"/>
              </w:rPr>
              <w:t>+</w:t>
            </w:r>
          </w:p>
          <w:p w14:paraId="26915E7A" w14:textId="77777777" w:rsidR="00A94A10" w:rsidRPr="00636169" w:rsidRDefault="00A94A10" w:rsidP="00BE68EC">
            <w:pPr>
              <w:jc w:val="center"/>
              <w:rPr>
                <w:sz w:val="15"/>
                <w:szCs w:val="15"/>
              </w:rPr>
            </w:pPr>
            <w:r w:rsidRPr="00636169">
              <w:rPr>
                <w:sz w:val="15"/>
                <w:szCs w:val="15"/>
              </w:rPr>
              <w:t>(0.01</w:t>
            </w:r>
            <w:r>
              <w:rPr>
                <w:sz w:val="15"/>
                <w:szCs w:val="15"/>
              </w:rPr>
              <w:t>2</w:t>
            </w:r>
            <w:r w:rsidRPr="00636169">
              <w:rPr>
                <w:sz w:val="15"/>
                <w:szCs w:val="15"/>
              </w:rPr>
              <w:t>)</w:t>
            </w:r>
          </w:p>
        </w:tc>
        <w:tc>
          <w:tcPr>
            <w:tcW w:w="239" w:type="dxa"/>
          </w:tcPr>
          <w:p w14:paraId="31E22A0A" w14:textId="77777777" w:rsidR="00A94A10" w:rsidRPr="00636169" w:rsidRDefault="00A94A10" w:rsidP="00BE68EC">
            <w:pPr>
              <w:jc w:val="center"/>
              <w:rPr>
                <w:sz w:val="16"/>
                <w:szCs w:val="16"/>
              </w:rPr>
            </w:pPr>
          </w:p>
        </w:tc>
      </w:tr>
      <w:tr w:rsidR="00A94A10" w:rsidRPr="00636169" w14:paraId="548C6CFD" w14:textId="77777777" w:rsidTr="00BE68EC">
        <w:trPr>
          <w:gridAfter w:val="1"/>
          <w:wAfter w:w="1560" w:type="dxa"/>
        </w:trPr>
        <w:tc>
          <w:tcPr>
            <w:tcW w:w="1913" w:type="dxa"/>
            <w:vAlign w:val="center"/>
          </w:tcPr>
          <w:p w14:paraId="08CA3206" w14:textId="77777777" w:rsidR="00A94A10" w:rsidRPr="009C7364" w:rsidRDefault="00A94A10" w:rsidP="00BE68EC">
            <w:pPr>
              <w:rPr>
                <w:b/>
                <w:bCs/>
                <w:sz w:val="15"/>
                <w:szCs w:val="15"/>
              </w:rPr>
            </w:pPr>
            <w:r w:rsidRPr="009C7364">
              <w:rPr>
                <w:sz w:val="15"/>
                <w:szCs w:val="15"/>
              </w:rPr>
              <w:t xml:space="preserve"> Connaught/Ulster</w:t>
            </w:r>
          </w:p>
        </w:tc>
        <w:tc>
          <w:tcPr>
            <w:tcW w:w="1773" w:type="dxa"/>
            <w:vAlign w:val="center"/>
          </w:tcPr>
          <w:p w14:paraId="4FEDBAE3" w14:textId="77777777" w:rsidR="00A94A10" w:rsidRPr="009C7364" w:rsidRDefault="00A94A10" w:rsidP="00BE68EC">
            <w:pPr>
              <w:jc w:val="center"/>
              <w:rPr>
                <w:sz w:val="15"/>
                <w:szCs w:val="15"/>
                <w:vertAlign w:val="superscript"/>
              </w:rPr>
            </w:pPr>
            <w:r w:rsidRPr="009C7364">
              <w:rPr>
                <w:sz w:val="15"/>
                <w:szCs w:val="15"/>
              </w:rPr>
              <w:t>-0.014</w:t>
            </w:r>
            <w:r w:rsidRPr="009C7364">
              <w:rPr>
                <w:sz w:val="15"/>
                <w:szCs w:val="15"/>
                <w:vertAlign w:val="superscript"/>
              </w:rPr>
              <w:t>+</w:t>
            </w:r>
          </w:p>
          <w:p w14:paraId="6E2784D5" w14:textId="77777777" w:rsidR="00A94A10" w:rsidRPr="009C7364" w:rsidRDefault="00A94A10" w:rsidP="00BE68EC">
            <w:pPr>
              <w:jc w:val="center"/>
              <w:rPr>
                <w:sz w:val="15"/>
                <w:szCs w:val="15"/>
              </w:rPr>
            </w:pPr>
            <w:r w:rsidRPr="009C7364">
              <w:rPr>
                <w:sz w:val="15"/>
                <w:szCs w:val="15"/>
              </w:rPr>
              <w:t>(0.008)</w:t>
            </w:r>
          </w:p>
        </w:tc>
        <w:tc>
          <w:tcPr>
            <w:tcW w:w="1984" w:type="dxa"/>
            <w:tcBorders>
              <w:right w:val="single" w:sz="4" w:space="0" w:color="auto"/>
            </w:tcBorders>
            <w:vAlign w:val="center"/>
          </w:tcPr>
          <w:p w14:paraId="7D1FCE92" w14:textId="77777777" w:rsidR="00A94A10" w:rsidRPr="00636169" w:rsidRDefault="00A94A10" w:rsidP="00BE68EC">
            <w:pPr>
              <w:jc w:val="center"/>
              <w:rPr>
                <w:sz w:val="15"/>
                <w:szCs w:val="15"/>
                <w:vertAlign w:val="superscript"/>
              </w:rPr>
            </w:pPr>
            <w:r w:rsidRPr="00636169">
              <w:rPr>
                <w:sz w:val="15"/>
                <w:szCs w:val="15"/>
              </w:rPr>
              <w:t>-0.009</w:t>
            </w:r>
          </w:p>
          <w:p w14:paraId="4844A628" w14:textId="77777777" w:rsidR="00A94A10" w:rsidRPr="00636169" w:rsidRDefault="00A94A10" w:rsidP="00BE68EC">
            <w:pPr>
              <w:jc w:val="center"/>
              <w:rPr>
                <w:sz w:val="15"/>
                <w:szCs w:val="15"/>
              </w:rPr>
            </w:pPr>
            <w:r w:rsidRPr="00636169">
              <w:rPr>
                <w:sz w:val="15"/>
                <w:szCs w:val="15"/>
              </w:rPr>
              <w:t>(0.008)</w:t>
            </w:r>
          </w:p>
        </w:tc>
        <w:tc>
          <w:tcPr>
            <w:tcW w:w="1560" w:type="dxa"/>
            <w:tcBorders>
              <w:left w:val="single" w:sz="4" w:space="0" w:color="auto"/>
            </w:tcBorders>
            <w:vAlign w:val="center"/>
          </w:tcPr>
          <w:p w14:paraId="0CA734C3" w14:textId="77777777" w:rsidR="00A94A10" w:rsidRPr="00636169" w:rsidRDefault="00A94A10" w:rsidP="00BE68EC">
            <w:pPr>
              <w:jc w:val="center"/>
              <w:rPr>
                <w:sz w:val="15"/>
                <w:szCs w:val="15"/>
                <w:vertAlign w:val="superscript"/>
              </w:rPr>
            </w:pPr>
            <w:r w:rsidRPr="00636169">
              <w:rPr>
                <w:sz w:val="15"/>
                <w:szCs w:val="15"/>
              </w:rPr>
              <w:t>-0.013</w:t>
            </w:r>
          </w:p>
          <w:p w14:paraId="059FC35B" w14:textId="77777777" w:rsidR="00A94A10" w:rsidRPr="00636169" w:rsidRDefault="00A94A10" w:rsidP="00BE68EC">
            <w:pPr>
              <w:jc w:val="center"/>
              <w:rPr>
                <w:sz w:val="15"/>
                <w:szCs w:val="15"/>
              </w:rPr>
            </w:pPr>
            <w:r w:rsidRPr="00636169">
              <w:rPr>
                <w:sz w:val="15"/>
                <w:szCs w:val="15"/>
              </w:rPr>
              <w:t>(0.015)</w:t>
            </w:r>
          </w:p>
        </w:tc>
        <w:tc>
          <w:tcPr>
            <w:tcW w:w="1557" w:type="dxa"/>
            <w:vAlign w:val="center"/>
          </w:tcPr>
          <w:p w14:paraId="5D163B78" w14:textId="77777777" w:rsidR="00A94A10" w:rsidRPr="00636169" w:rsidRDefault="00A94A10" w:rsidP="00BE68EC">
            <w:pPr>
              <w:jc w:val="center"/>
              <w:rPr>
                <w:sz w:val="15"/>
                <w:szCs w:val="15"/>
                <w:vertAlign w:val="superscript"/>
              </w:rPr>
            </w:pPr>
            <w:r w:rsidRPr="00636169">
              <w:rPr>
                <w:sz w:val="15"/>
                <w:szCs w:val="15"/>
              </w:rPr>
              <w:t>-0.0</w:t>
            </w:r>
            <w:r>
              <w:rPr>
                <w:sz w:val="15"/>
                <w:szCs w:val="15"/>
              </w:rPr>
              <w:t>04</w:t>
            </w:r>
          </w:p>
          <w:p w14:paraId="38F45A63" w14:textId="77777777" w:rsidR="00A94A10" w:rsidRPr="00636169" w:rsidRDefault="00A94A10" w:rsidP="00BE68EC">
            <w:pPr>
              <w:jc w:val="center"/>
              <w:rPr>
                <w:sz w:val="15"/>
                <w:szCs w:val="15"/>
              </w:rPr>
            </w:pPr>
            <w:r w:rsidRPr="00636169">
              <w:rPr>
                <w:sz w:val="15"/>
                <w:szCs w:val="15"/>
              </w:rPr>
              <w:t>(0.015)</w:t>
            </w:r>
          </w:p>
        </w:tc>
        <w:tc>
          <w:tcPr>
            <w:tcW w:w="239" w:type="dxa"/>
          </w:tcPr>
          <w:p w14:paraId="113C621B" w14:textId="77777777" w:rsidR="00A94A10" w:rsidRPr="00636169" w:rsidRDefault="00A94A10" w:rsidP="00BE68EC">
            <w:pPr>
              <w:jc w:val="center"/>
              <w:rPr>
                <w:sz w:val="16"/>
                <w:szCs w:val="16"/>
              </w:rPr>
            </w:pPr>
          </w:p>
        </w:tc>
      </w:tr>
      <w:tr w:rsidR="00A94A10" w:rsidRPr="00636169" w14:paraId="775178FE" w14:textId="77777777" w:rsidTr="00BE68EC">
        <w:tc>
          <w:tcPr>
            <w:tcW w:w="5670" w:type="dxa"/>
            <w:gridSpan w:val="3"/>
            <w:tcBorders>
              <w:right w:val="single" w:sz="4" w:space="0" w:color="auto"/>
            </w:tcBorders>
            <w:vAlign w:val="center"/>
          </w:tcPr>
          <w:p w14:paraId="2A3E152E" w14:textId="77777777" w:rsidR="00A94A10" w:rsidRPr="00636169" w:rsidRDefault="00A94A10" w:rsidP="00BE68EC">
            <w:pPr>
              <w:rPr>
                <w:i/>
                <w:iCs/>
                <w:sz w:val="15"/>
                <w:szCs w:val="15"/>
              </w:rPr>
            </w:pPr>
            <w:r>
              <w:rPr>
                <w:i/>
                <w:iCs/>
                <w:sz w:val="15"/>
                <w:szCs w:val="15"/>
              </w:rPr>
              <w:t>Highest e</w:t>
            </w:r>
            <w:r w:rsidRPr="00636169">
              <w:rPr>
                <w:i/>
                <w:iCs/>
                <w:sz w:val="15"/>
                <w:szCs w:val="15"/>
              </w:rPr>
              <w:t>ducational achievement (Ref: less than Leaving Certificate)</w:t>
            </w:r>
          </w:p>
        </w:tc>
        <w:tc>
          <w:tcPr>
            <w:tcW w:w="1560" w:type="dxa"/>
            <w:tcBorders>
              <w:left w:val="single" w:sz="4" w:space="0" w:color="auto"/>
            </w:tcBorders>
          </w:tcPr>
          <w:p w14:paraId="2ABF5570" w14:textId="77777777" w:rsidR="00A94A10" w:rsidRPr="00636169" w:rsidRDefault="00A94A10" w:rsidP="00BE68EC">
            <w:pPr>
              <w:rPr>
                <w:i/>
                <w:iCs/>
                <w:sz w:val="15"/>
                <w:szCs w:val="15"/>
              </w:rPr>
            </w:pPr>
          </w:p>
        </w:tc>
        <w:tc>
          <w:tcPr>
            <w:tcW w:w="1557" w:type="dxa"/>
          </w:tcPr>
          <w:p w14:paraId="093D675B" w14:textId="77777777" w:rsidR="00A94A10" w:rsidRPr="00636169" w:rsidRDefault="00A94A10" w:rsidP="00BE68EC">
            <w:pPr>
              <w:rPr>
                <w:i/>
                <w:iCs/>
                <w:sz w:val="15"/>
                <w:szCs w:val="15"/>
              </w:rPr>
            </w:pPr>
          </w:p>
        </w:tc>
        <w:tc>
          <w:tcPr>
            <w:tcW w:w="239" w:type="dxa"/>
          </w:tcPr>
          <w:p w14:paraId="13B2D458" w14:textId="77777777" w:rsidR="00A94A10" w:rsidRPr="00636169" w:rsidRDefault="00A94A10" w:rsidP="00BE68EC">
            <w:pPr>
              <w:rPr>
                <w:i/>
                <w:iCs/>
                <w:sz w:val="16"/>
                <w:szCs w:val="16"/>
              </w:rPr>
            </w:pPr>
          </w:p>
        </w:tc>
        <w:tc>
          <w:tcPr>
            <w:tcW w:w="1560" w:type="dxa"/>
          </w:tcPr>
          <w:p w14:paraId="4E88F5FB" w14:textId="77777777" w:rsidR="00A94A10" w:rsidRPr="00636169" w:rsidRDefault="00A94A10" w:rsidP="00BE68EC"/>
        </w:tc>
      </w:tr>
      <w:tr w:rsidR="00A94A10" w:rsidRPr="00636169" w14:paraId="02B47CFC" w14:textId="77777777" w:rsidTr="00BE68EC">
        <w:trPr>
          <w:gridAfter w:val="1"/>
          <w:wAfter w:w="1560" w:type="dxa"/>
        </w:trPr>
        <w:tc>
          <w:tcPr>
            <w:tcW w:w="1913" w:type="dxa"/>
            <w:vAlign w:val="center"/>
          </w:tcPr>
          <w:p w14:paraId="0B9BAE2C" w14:textId="77777777" w:rsidR="00A94A10" w:rsidRPr="009C7364" w:rsidRDefault="00A94A10" w:rsidP="00BE68EC">
            <w:pPr>
              <w:rPr>
                <w:b/>
                <w:bCs/>
                <w:sz w:val="15"/>
                <w:szCs w:val="15"/>
              </w:rPr>
            </w:pPr>
            <w:r w:rsidRPr="009C7364">
              <w:rPr>
                <w:sz w:val="15"/>
                <w:szCs w:val="15"/>
              </w:rPr>
              <w:t xml:space="preserve"> Leaving Certificate</w:t>
            </w:r>
          </w:p>
        </w:tc>
        <w:tc>
          <w:tcPr>
            <w:tcW w:w="1773" w:type="dxa"/>
            <w:vAlign w:val="center"/>
          </w:tcPr>
          <w:p w14:paraId="6E75983C" w14:textId="77777777" w:rsidR="00A94A10" w:rsidRPr="009C7364" w:rsidRDefault="00A94A10" w:rsidP="00BE68EC">
            <w:pPr>
              <w:jc w:val="center"/>
              <w:rPr>
                <w:sz w:val="15"/>
                <w:szCs w:val="15"/>
              </w:rPr>
            </w:pPr>
            <w:r w:rsidRPr="009C7364">
              <w:rPr>
                <w:sz w:val="15"/>
                <w:szCs w:val="15"/>
              </w:rPr>
              <w:t>-0.007</w:t>
            </w:r>
          </w:p>
          <w:p w14:paraId="305E363A" w14:textId="77777777" w:rsidR="00A94A10" w:rsidRPr="009C7364" w:rsidRDefault="00A94A10" w:rsidP="00BE68EC">
            <w:pPr>
              <w:jc w:val="center"/>
              <w:rPr>
                <w:sz w:val="15"/>
                <w:szCs w:val="15"/>
              </w:rPr>
            </w:pPr>
            <w:r w:rsidRPr="009C7364">
              <w:rPr>
                <w:sz w:val="15"/>
                <w:szCs w:val="15"/>
              </w:rPr>
              <w:t>(0.008)</w:t>
            </w:r>
          </w:p>
        </w:tc>
        <w:tc>
          <w:tcPr>
            <w:tcW w:w="1984" w:type="dxa"/>
            <w:tcBorders>
              <w:right w:val="single" w:sz="4" w:space="0" w:color="auto"/>
            </w:tcBorders>
            <w:vAlign w:val="center"/>
          </w:tcPr>
          <w:p w14:paraId="29530F6F" w14:textId="77777777" w:rsidR="00A94A10" w:rsidRPr="00636169" w:rsidRDefault="00A94A10" w:rsidP="00BE68EC">
            <w:pPr>
              <w:jc w:val="center"/>
              <w:rPr>
                <w:sz w:val="15"/>
                <w:szCs w:val="15"/>
              </w:rPr>
            </w:pPr>
            <w:r w:rsidRPr="00636169">
              <w:rPr>
                <w:sz w:val="15"/>
                <w:szCs w:val="15"/>
              </w:rPr>
              <w:t>-0.004</w:t>
            </w:r>
          </w:p>
          <w:p w14:paraId="7283F049" w14:textId="77777777" w:rsidR="00A94A10" w:rsidRPr="00636169" w:rsidRDefault="00A94A10" w:rsidP="00BE68EC">
            <w:pPr>
              <w:jc w:val="center"/>
              <w:rPr>
                <w:sz w:val="15"/>
                <w:szCs w:val="15"/>
              </w:rPr>
            </w:pPr>
            <w:r w:rsidRPr="00636169">
              <w:rPr>
                <w:sz w:val="15"/>
                <w:szCs w:val="15"/>
              </w:rPr>
              <w:t>(0.007)</w:t>
            </w:r>
          </w:p>
        </w:tc>
        <w:tc>
          <w:tcPr>
            <w:tcW w:w="1560" w:type="dxa"/>
            <w:tcBorders>
              <w:left w:val="single" w:sz="4" w:space="0" w:color="auto"/>
            </w:tcBorders>
            <w:vAlign w:val="center"/>
          </w:tcPr>
          <w:p w14:paraId="4AA60DFD" w14:textId="77777777" w:rsidR="00A94A10" w:rsidRPr="00636169" w:rsidRDefault="00A94A10" w:rsidP="00BE68EC">
            <w:pPr>
              <w:jc w:val="center"/>
              <w:rPr>
                <w:sz w:val="15"/>
                <w:szCs w:val="15"/>
              </w:rPr>
            </w:pPr>
            <w:r w:rsidRPr="00636169">
              <w:rPr>
                <w:sz w:val="15"/>
                <w:szCs w:val="15"/>
              </w:rPr>
              <w:t>-0.033*</w:t>
            </w:r>
          </w:p>
          <w:p w14:paraId="5F738B49" w14:textId="77777777" w:rsidR="00A94A10" w:rsidRPr="00636169" w:rsidRDefault="00A94A10" w:rsidP="00BE68EC">
            <w:pPr>
              <w:jc w:val="center"/>
              <w:rPr>
                <w:sz w:val="15"/>
                <w:szCs w:val="15"/>
              </w:rPr>
            </w:pPr>
            <w:r w:rsidRPr="00636169">
              <w:rPr>
                <w:sz w:val="15"/>
                <w:szCs w:val="15"/>
              </w:rPr>
              <w:t>(0.015)</w:t>
            </w:r>
          </w:p>
        </w:tc>
        <w:tc>
          <w:tcPr>
            <w:tcW w:w="1557" w:type="dxa"/>
            <w:vAlign w:val="center"/>
          </w:tcPr>
          <w:p w14:paraId="6EB34A55" w14:textId="77777777" w:rsidR="00A94A10" w:rsidRPr="00C35968" w:rsidRDefault="00A94A10" w:rsidP="00BE68EC">
            <w:pPr>
              <w:jc w:val="center"/>
              <w:rPr>
                <w:sz w:val="15"/>
                <w:szCs w:val="15"/>
                <w:vertAlign w:val="superscript"/>
              </w:rPr>
            </w:pPr>
            <w:r w:rsidRPr="00636169">
              <w:rPr>
                <w:sz w:val="15"/>
                <w:szCs w:val="15"/>
              </w:rPr>
              <w:t>-0.0</w:t>
            </w:r>
            <w:r>
              <w:rPr>
                <w:sz w:val="15"/>
                <w:szCs w:val="15"/>
              </w:rPr>
              <w:t>2</w:t>
            </w:r>
            <w:r w:rsidRPr="00636169">
              <w:rPr>
                <w:sz w:val="15"/>
                <w:szCs w:val="15"/>
              </w:rPr>
              <w:t>7</w:t>
            </w:r>
            <w:r>
              <w:rPr>
                <w:sz w:val="15"/>
                <w:szCs w:val="15"/>
                <w:vertAlign w:val="superscript"/>
              </w:rPr>
              <w:t>+</w:t>
            </w:r>
          </w:p>
          <w:p w14:paraId="6F377E69" w14:textId="77777777" w:rsidR="00A94A10" w:rsidRPr="00636169" w:rsidRDefault="00A94A10" w:rsidP="00BE68EC">
            <w:pPr>
              <w:jc w:val="center"/>
              <w:rPr>
                <w:sz w:val="15"/>
                <w:szCs w:val="15"/>
              </w:rPr>
            </w:pPr>
            <w:r w:rsidRPr="00636169">
              <w:rPr>
                <w:sz w:val="15"/>
                <w:szCs w:val="15"/>
              </w:rPr>
              <w:t>(0.0</w:t>
            </w:r>
            <w:r>
              <w:rPr>
                <w:sz w:val="15"/>
                <w:szCs w:val="15"/>
              </w:rPr>
              <w:t>14</w:t>
            </w:r>
            <w:r w:rsidRPr="00636169">
              <w:rPr>
                <w:sz w:val="15"/>
                <w:szCs w:val="15"/>
              </w:rPr>
              <w:t>)</w:t>
            </w:r>
          </w:p>
        </w:tc>
        <w:tc>
          <w:tcPr>
            <w:tcW w:w="239" w:type="dxa"/>
          </w:tcPr>
          <w:p w14:paraId="3EF972C3" w14:textId="77777777" w:rsidR="00A94A10" w:rsidRPr="00636169" w:rsidRDefault="00A94A10" w:rsidP="00BE68EC">
            <w:pPr>
              <w:jc w:val="center"/>
              <w:rPr>
                <w:sz w:val="16"/>
                <w:szCs w:val="16"/>
              </w:rPr>
            </w:pPr>
          </w:p>
        </w:tc>
      </w:tr>
      <w:tr w:rsidR="00A94A10" w:rsidRPr="00636169" w14:paraId="30E0BBB4" w14:textId="77777777" w:rsidTr="00BE68EC">
        <w:trPr>
          <w:gridAfter w:val="1"/>
          <w:wAfter w:w="1560" w:type="dxa"/>
        </w:trPr>
        <w:tc>
          <w:tcPr>
            <w:tcW w:w="1913" w:type="dxa"/>
            <w:vAlign w:val="center"/>
          </w:tcPr>
          <w:p w14:paraId="612B705D" w14:textId="77777777" w:rsidR="00A94A10" w:rsidRPr="009C7364" w:rsidRDefault="00A94A10" w:rsidP="00BE68EC">
            <w:pPr>
              <w:rPr>
                <w:sz w:val="15"/>
                <w:szCs w:val="15"/>
              </w:rPr>
            </w:pPr>
            <w:r w:rsidRPr="009C7364">
              <w:rPr>
                <w:sz w:val="15"/>
                <w:szCs w:val="15"/>
              </w:rPr>
              <w:t xml:space="preserve"> Degree (graduate/postgraduate)</w:t>
            </w:r>
          </w:p>
        </w:tc>
        <w:tc>
          <w:tcPr>
            <w:tcW w:w="1773" w:type="dxa"/>
            <w:vAlign w:val="center"/>
          </w:tcPr>
          <w:p w14:paraId="5A828F0E" w14:textId="77777777" w:rsidR="00A94A10" w:rsidRPr="009C7364" w:rsidRDefault="00A94A10" w:rsidP="00BE68EC">
            <w:pPr>
              <w:jc w:val="center"/>
              <w:rPr>
                <w:sz w:val="15"/>
                <w:szCs w:val="15"/>
              </w:rPr>
            </w:pPr>
            <w:r w:rsidRPr="009C7364">
              <w:rPr>
                <w:sz w:val="15"/>
                <w:szCs w:val="15"/>
              </w:rPr>
              <w:t>-0.004</w:t>
            </w:r>
          </w:p>
          <w:p w14:paraId="5DB6F2D0" w14:textId="77777777" w:rsidR="00A94A10" w:rsidRPr="009C7364" w:rsidRDefault="00A94A10" w:rsidP="00BE68EC">
            <w:pPr>
              <w:jc w:val="center"/>
              <w:rPr>
                <w:sz w:val="15"/>
                <w:szCs w:val="15"/>
              </w:rPr>
            </w:pPr>
            <w:r w:rsidRPr="009C7364">
              <w:rPr>
                <w:sz w:val="15"/>
                <w:szCs w:val="15"/>
              </w:rPr>
              <w:t>(0.009)</w:t>
            </w:r>
          </w:p>
        </w:tc>
        <w:tc>
          <w:tcPr>
            <w:tcW w:w="1984" w:type="dxa"/>
            <w:tcBorders>
              <w:right w:val="single" w:sz="4" w:space="0" w:color="auto"/>
            </w:tcBorders>
            <w:vAlign w:val="center"/>
          </w:tcPr>
          <w:p w14:paraId="4E8DF086" w14:textId="77777777" w:rsidR="00A94A10" w:rsidRPr="00636169" w:rsidRDefault="00A94A10" w:rsidP="00BE68EC">
            <w:pPr>
              <w:jc w:val="center"/>
              <w:rPr>
                <w:sz w:val="15"/>
                <w:szCs w:val="15"/>
              </w:rPr>
            </w:pPr>
            <w:r w:rsidRPr="00636169">
              <w:rPr>
                <w:sz w:val="15"/>
                <w:szCs w:val="15"/>
              </w:rPr>
              <w:t>0.002</w:t>
            </w:r>
          </w:p>
          <w:p w14:paraId="36513227" w14:textId="77777777" w:rsidR="00A94A10" w:rsidRPr="00636169" w:rsidRDefault="00A94A10" w:rsidP="00BE68EC">
            <w:pPr>
              <w:jc w:val="center"/>
              <w:rPr>
                <w:sz w:val="15"/>
                <w:szCs w:val="15"/>
              </w:rPr>
            </w:pPr>
            <w:r w:rsidRPr="00636169">
              <w:rPr>
                <w:sz w:val="15"/>
                <w:szCs w:val="15"/>
              </w:rPr>
              <w:t>(0.008)</w:t>
            </w:r>
          </w:p>
        </w:tc>
        <w:tc>
          <w:tcPr>
            <w:tcW w:w="1560" w:type="dxa"/>
            <w:tcBorders>
              <w:left w:val="single" w:sz="4" w:space="0" w:color="auto"/>
            </w:tcBorders>
            <w:vAlign w:val="center"/>
          </w:tcPr>
          <w:p w14:paraId="63FDC41A" w14:textId="77777777" w:rsidR="00A94A10" w:rsidRPr="00636169" w:rsidRDefault="00A94A10" w:rsidP="00BE68EC">
            <w:pPr>
              <w:jc w:val="center"/>
              <w:rPr>
                <w:sz w:val="15"/>
                <w:szCs w:val="15"/>
              </w:rPr>
            </w:pPr>
            <w:r w:rsidRPr="00636169">
              <w:rPr>
                <w:sz w:val="15"/>
                <w:szCs w:val="15"/>
              </w:rPr>
              <w:t>-0.036*</w:t>
            </w:r>
          </w:p>
          <w:p w14:paraId="195913A8" w14:textId="77777777" w:rsidR="00A94A10" w:rsidRPr="00636169" w:rsidRDefault="00A94A10" w:rsidP="00BE68EC">
            <w:pPr>
              <w:jc w:val="center"/>
              <w:rPr>
                <w:sz w:val="15"/>
                <w:szCs w:val="15"/>
              </w:rPr>
            </w:pPr>
            <w:r w:rsidRPr="00636169">
              <w:rPr>
                <w:sz w:val="15"/>
                <w:szCs w:val="15"/>
              </w:rPr>
              <w:t>(0.01</w:t>
            </w:r>
            <w:r>
              <w:rPr>
                <w:sz w:val="15"/>
                <w:szCs w:val="15"/>
              </w:rPr>
              <w:t>6</w:t>
            </w:r>
            <w:r w:rsidRPr="00636169">
              <w:rPr>
                <w:sz w:val="15"/>
                <w:szCs w:val="15"/>
              </w:rPr>
              <w:t>)</w:t>
            </w:r>
          </w:p>
        </w:tc>
        <w:tc>
          <w:tcPr>
            <w:tcW w:w="1557" w:type="dxa"/>
            <w:vAlign w:val="center"/>
          </w:tcPr>
          <w:p w14:paraId="0953D154" w14:textId="77777777" w:rsidR="00A94A10" w:rsidRPr="00C35968" w:rsidRDefault="00A94A10" w:rsidP="00BE68EC">
            <w:pPr>
              <w:jc w:val="center"/>
              <w:rPr>
                <w:sz w:val="15"/>
                <w:szCs w:val="15"/>
                <w:vertAlign w:val="superscript"/>
              </w:rPr>
            </w:pPr>
            <w:r w:rsidRPr="00636169">
              <w:rPr>
                <w:sz w:val="15"/>
                <w:szCs w:val="15"/>
              </w:rPr>
              <w:t>-0.0</w:t>
            </w:r>
            <w:r>
              <w:rPr>
                <w:sz w:val="15"/>
                <w:szCs w:val="15"/>
              </w:rPr>
              <w:t>27</w:t>
            </w:r>
            <w:r>
              <w:rPr>
                <w:sz w:val="15"/>
                <w:szCs w:val="15"/>
                <w:vertAlign w:val="superscript"/>
              </w:rPr>
              <w:t>+</w:t>
            </w:r>
          </w:p>
          <w:p w14:paraId="6F9226F4" w14:textId="77777777" w:rsidR="00A94A10" w:rsidRPr="00636169" w:rsidRDefault="00A94A10" w:rsidP="00BE68EC">
            <w:pPr>
              <w:jc w:val="center"/>
              <w:rPr>
                <w:sz w:val="15"/>
                <w:szCs w:val="15"/>
              </w:rPr>
            </w:pPr>
            <w:r w:rsidRPr="00636169">
              <w:rPr>
                <w:sz w:val="15"/>
                <w:szCs w:val="15"/>
              </w:rPr>
              <w:t>(0.0</w:t>
            </w:r>
            <w:r>
              <w:rPr>
                <w:sz w:val="15"/>
                <w:szCs w:val="15"/>
              </w:rPr>
              <w:t>15</w:t>
            </w:r>
            <w:r w:rsidRPr="00636169">
              <w:rPr>
                <w:sz w:val="15"/>
                <w:szCs w:val="15"/>
              </w:rPr>
              <w:t>)</w:t>
            </w:r>
          </w:p>
        </w:tc>
        <w:tc>
          <w:tcPr>
            <w:tcW w:w="239" w:type="dxa"/>
          </w:tcPr>
          <w:p w14:paraId="54ED5B9F" w14:textId="77777777" w:rsidR="00A94A10" w:rsidRPr="00636169" w:rsidRDefault="00A94A10" w:rsidP="00BE68EC">
            <w:pPr>
              <w:jc w:val="center"/>
              <w:rPr>
                <w:sz w:val="16"/>
                <w:szCs w:val="16"/>
              </w:rPr>
            </w:pPr>
          </w:p>
        </w:tc>
      </w:tr>
      <w:tr w:rsidR="00A94A10" w:rsidRPr="00636169" w14:paraId="6E423A04" w14:textId="77777777" w:rsidTr="00BE68EC">
        <w:trPr>
          <w:gridAfter w:val="1"/>
          <w:wAfter w:w="1560" w:type="dxa"/>
        </w:trPr>
        <w:tc>
          <w:tcPr>
            <w:tcW w:w="1913" w:type="dxa"/>
            <w:tcBorders>
              <w:bottom w:val="nil"/>
            </w:tcBorders>
            <w:vAlign w:val="center"/>
          </w:tcPr>
          <w:p w14:paraId="388DB32B" w14:textId="77777777" w:rsidR="00A94A10" w:rsidRPr="009C7364" w:rsidRDefault="00A94A10" w:rsidP="00BE68EC">
            <w:pPr>
              <w:rPr>
                <w:sz w:val="15"/>
                <w:szCs w:val="15"/>
              </w:rPr>
            </w:pPr>
            <w:r w:rsidRPr="009C7364">
              <w:rPr>
                <w:sz w:val="15"/>
                <w:szCs w:val="15"/>
              </w:rPr>
              <w:t>Participate in social groups</w:t>
            </w:r>
          </w:p>
        </w:tc>
        <w:tc>
          <w:tcPr>
            <w:tcW w:w="1773" w:type="dxa"/>
            <w:tcBorders>
              <w:bottom w:val="nil"/>
            </w:tcBorders>
            <w:vAlign w:val="center"/>
          </w:tcPr>
          <w:p w14:paraId="2F1F5D1A" w14:textId="77777777" w:rsidR="00A94A10" w:rsidRPr="009C7364" w:rsidRDefault="00A94A10" w:rsidP="00BE68EC">
            <w:pPr>
              <w:jc w:val="center"/>
              <w:rPr>
                <w:sz w:val="15"/>
                <w:szCs w:val="15"/>
              </w:rPr>
            </w:pPr>
            <w:r w:rsidRPr="009C7364">
              <w:rPr>
                <w:sz w:val="15"/>
                <w:szCs w:val="15"/>
              </w:rPr>
              <w:t>-0.016**</w:t>
            </w:r>
          </w:p>
          <w:p w14:paraId="6143782C" w14:textId="77777777" w:rsidR="00A94A10" w:rsidRPr="009C7364" w:rsidRDefault="00A94A10" w:rsidP="00BE68EC">
            <w:pPr>
              <w:jc w:val="center"/>
              <w:rPr>
                <w:sz w:val="15"/>
                <w:szCs w:val="15"/>
              </w:rPr>
            </w:pPr>
            <w:r w:rsidRPr="009C7364">
              <w:rPr>
                <w:sz w:val="15"/>
                <w:szCs w:val="15"/>
              </w:rPr>
              <w:t>(0.006)</w:t>
            </w:r>
          </w:p>
        </w:tc>
        <w:tc>
          <w:tcPr>
            <w:tcW w:w="1984" w:type="dxa"/>
            <w:tcBorders>
              <w:bottom w:val="nil"/>
              <w:right w:val="single" w:sz="4" w:space="0" w:color="auto"/>
            </w:tcBorders>
            <w:vAlign w:val="center"/>
          </w:tcPr>
          <w:p w14:paraId="746625FE" w14:textId="77777777" w:rsidR="00A94A10" w:rsidRPr="00636169" w:rsidRDefault="00A94A10" w:rsidP="00BE68EC">
            <w:pPr>
              <w:jc w:val="center"/>
              <w:rPr>
                <w:sz w:val="15"/>
                <w:szCs w:val="15"/>
              </w:rPr>
            </w:pPr>
            <w:r w:rsidRPr="00636169">
              <w:rPr>
                <w:sz w:val="15"/>
                <w:szCs w:val="15"/>
              </w:rPr>
              <w:t>-0.008</w:t>
            </w:r>
          </w:p>
          <w:p w14:paraId="0DCC84B3" w14:textId="77777777" w:rsidR="00A94A10" w:rsidRPr="00636169" w:rsidRDefault="00A94A10" w:rsidP="00BE68EC">
            <w:pPr>
              <w:jc w:val="center"/>
              <w:rPr>
                <w:sz w:val="15"/>
                <w:szCs w:val="15"/>
              </w:rPr>
            </w:pPr>
            <w:r w:rsidRPr="00636169">
              <w:rPr>
                <w:sz w:val="15"/>
                <w:szCs w:val="15"/>
              </w:rPr>
              <w:t>(0.006)</w:t>
            </w:r>
          </w:p>
        </w:tc>
        <w:tc>
          <w:tcPr>
            <w:tcW w:w="1560" w:type="dxa"/>
            <w:tcBorders>
              <w:left w:val="single" w:sz="4" w:space="0" w:color="auto"/>
              <w:bottom w:val="nil"/>
            </w:tcBorders>
            <w:vAlign w:val="center"/>
          </w:tcPr>
          <w:p w14:paraId="7A0B9194" w14:textId="77777777" w:rsidR="00A94A10" w:rsidRPr="00636169" w:rsidRDefault="00A94A10" w:rsidP="00BE68EC">
            <w:pPr>
              <w:jc w:val="center"/>
              <w:rPr>
                <w:sz w:val="15"/>
                <w:szCs w:val="15"/>
              </w:rPr>
            </w:pPr>
            <w:r w:rsidRPr="00636169">
              <w:rPr>
                <w:sz w:val="15"/>
                <w:szCs w:val="15"/>
              </w:rPr>
              <w:t>-0.040*</w:t>
            </w:r>
            <w:r>
              <w:rPr>
                <w:sz w:val="15"/>
                <w:szCs w:val="15"/>
              </w:rPr>
              <w:t>*</w:t>
            </w:r>
            <w:r w:rsidRPr="00636169">
              <w:rPr>
                <w:sz w:val="15"/>
                <w:szCs w:val="15"/>
              </w:rPr>
              <w:t>*</w:t>
            </w:r>
          </w:p>
          <w:p w14:paraId="28DCD0B4" w14:textId="77777777" w:rsidR="00A94A10" w:rsidRPr="00636169" w:rsidRDefault="00A94A10" w:rsidP="00BE68EC">
            <w:pPr>
              <w:jc w:val="center"/>
              <w:rPr>
                <w:sz w:val="15"/>
                <w:szCs w:val="15"/>
              </w:rPr>
            </w:pPr>
            <w:r w:rsidRPr="00636169">
              <w:rPr>
                <w:sz w:val="15"/>
                <w:szCs w:val="15"/>
              </w:rPr>
              <w:t>(0.010)</w:t>
            </w:r>
          </w:p>
        </w:tc>
        <w:tc>
          <w:tcPr>
            <w:tcW w:w="1557" w:type="dxa"/>
            <w:tcBorders>
              <w:bottom w:val="nil"/>
            </w:tcBorders>
            <w:vAlign w:val="center"/>
          </w:tcPr>
          <w:p w14:paraId="3A3F5FA2" w14:textId="77777777" w:rsidR="00A94A10" w:rsidRPr="00636169" w:rsidRDefault="00A94A10" w:rsidP="00BE68EC">
            <w:pPr>
              <w:jc w:val="center"/>
              <w:rPr>
                <w:sz w:val="15"/>
                <w:szCs w:val="15"/>
              </w:rPr>
            </w:pPr>
            <w:r w:rsidRPr="00636169">
              <w:rPr>
                <w:sz w:val="15"/>
                <w:szCs w:val="15"/>
              </w:rPr>
              <w:t>-0.0</w:t>
            </w:r>
            <w:r>
              <w:rPr>
                <w:sz w:val="15"/>
                <w:szCs w:val="15"/>
              </w:rPr>
              <w:t>27**</w:t>
            </w:r>
          </w:p>
          <w:p w14:paraId="2C44A651" w14:textId="77777777" w:rsidR="00A94A10" w:rsidRPr="00636169" w:rsidRDefault="00A94A10" w:rsidP="00BE68EC">
            <w:pPr>
              <w:jc w:val="center"/>
              <w:rPr>
                <w:sz w:val="15"/>
                <w:szCs w:val="15"/>
              </w:rPr>
            </w:pPr>
            <w:r w:rsidRPr="00636169">
              <w:rPr>
                <w:sz w:val="15"/>
                <w:szCs w:val="15"/>
              </w:rPr>
              <w:t>(0.0</w:t>
            </w:r>
            <w:r>
              <w:rPr>
                <w:sz w:val="15"/>
                <w:szCs w:val="15"/>
              </w:rPr>
              <w:t>10</w:t>
            </w:r>
            <w:r w:rsidRPr="00636169">
              <w:rPr>
                <w:sz w:val="15"/>
                <w:szCs w:val="15"/>
              </w:rPr>
              <w:t>)</w:t>
            </w:r>
          </w:p>
        </w:tc>
        <w:tc>
          <w:tcPr>
            <w:tcW w:w="239" w:type="dxa"/>
            <w:tcBorders>
              <w:bottom w:val="nil"/>
            </w:tcBorders>
          </w:tcPr>
          <w:p w14:paraId="60AD2A72" w14:textId="77777777" w:rsidR="00A94A10" w:rsidRPr="00636169" w:rsidRDefault="00A94A10" w:rsidP="00BE68EC">
            <w:pPr>
              <w:jc w:val="center"/>
              <w:rPr>
                <w:sz w:val="16"/>
                <w:szCs w:val="16"/>
              </w:rPr>
            </w:pPr>
          </w:p>
        </w:tc>
      </w:tr>
      <w:tr w:rsidR="00A94A10" w:rsidRPr="00636169" w14:paraId="64DAA4EC" w14:textId="77777777" w:rsidTr="00BE68EC">
        <w:trPr>
          <w:gridAfter w:val="1"/>
          <w:wAfter w:w="1560" w:type="dxa"/>
        </w:trPr>
        <w:tc>
          <w:tcPr>
            <w:tcW w:w="1913" w:type="dxa"/>
            <w:tcBorders>
              <w:top w:val="nil"/>
              <w:bottom w:val="nil"/>
            </w:tcBorders>
            <w:vAlign w:val="center"/>
          </w:tcPr>
          <w:p w14:paraId="7DB8AD27" w14:textId="77777777" w:rsidR="00A94A10" w:rsidRPr="009C7364" w:rsidRDefault="00A94A10" w:rsidP="00BE68EC">
            <w:pPr>
              <w:rPr>
                <w:sz w:val="15"/>
                <w:szCs w:val="15"/>
              </w:rPr>
            </w:pPr>
            <w:r w:rsidRPr="009C7364">
              <w:rPr>
                <w:sz w:val="15"/>
                <w:szCs w:val="15"/>
              </w:rPr>
              <w:t xml:space="preserve">Few people to count on </w:t>
            </w:r>
          </w:p>
        </w:tc>
        <w:tc>
          <w:tcPr>
            <w:tcW w:w="1773" w:type="dxa"/>
            <w:tcBorders>
              <w:top w:val="nil"/>
              <w:bottom w:val="nil"/>
            </w:tcBorders>
            <w:vAlign w:val="center"/>
          </w:tcPr>
          <w:p w14:paraId="30D79B31" w14:textId="77777777" w:rsidR="00A94A10" w:rsidRPr="009C7364" w:rsidRDefault="00A94A10" w:rsidP="00BE68EC">
            <w:pPr>
              <w:jc w:val="center"/>
              <w:rPr>
                <w:sz w:val="15"/>
                <w:szCs w:val="15"/>
              </w:rPr>
            </w:pPr>
            <w:r w:rsidRPr="009C7364">
              <w:rPr>
                <w:sz w:val="15"/>
                <w:szCs w:val="15"/>
              </w:rPr>
              <w:t>0.033**</w:t>
            </w:r>
          </w:p>
          <w:p w14:paraId="5A69818A" w14:textId="77777777" w:rsidR="00A94A10" w:rsidRPr="009C7364" w:rsidRDefault="00A94A10" w:rsidP="00BE68EC">
            <w:pPr>
              <w:jc w:val="center"/>
              <w:rPr>
                <w:sz w:val="15"/>
                <w:szCs w:val="15"/>
              </w:rPr>
            </w:pPr>
            <w:r w:rsidRPr="009C7364">
              <w:rPr>
                <w:sz w:val="15"/>
                <w:szCs w:val="15"/>
              </w:rPr>
              <w:t>(0.007)</w:t>
            </w:r>
          </w:p>
        </w:tc>
        <w:tc>
          <w:tcPr>
            <w:tcW w:w="1984" w:type="dxa"/>
            <w:tcBorders>
              <w:top w:val="nil"/>
              <w:bottom w:val="nil"/>
              <w:right w:val="single" w:sz="4" w:space="0" w:color="auto"/>
            </w:tcBorders>
            <w:vAlign w:val="center"/>
          </w:tcPr>
          <w:p w14:paraId="1C9B63B3" w14:textId="77777777" w:rsidR="00A94A10" w:rsidRPr="00636169" w:rsidRDefault="00A94A10" w:rsidP="00BE68EC">
            <w:pPr>
              <w:jc w:val="center"/>
              <w:rPr>
                <w:sz w:val="15"/>
                <w:szCs w:val="15"/>
              </w:rPr>
            </w:pPr>
            <w:r w:rsidRPr="00636169">
              <w:rPr>
                <w:sz w:val="15"/>
                <w:szCs w:val="15"/>
              </w:rPr>
              <w:t>0.019**</w:t>
            </w:r>
          </w:p>
          <w:p w14:paraId="104C9855" w14:textId="77777777" w:rsidR="00A94A10" w:rsidRPr="00636169" w:rsidRDefault="00A94A10" w:rsidP="00BE68EC">
            <w:pPr>
              <w:jc w:val="center"/>
              <w:rPr>
                <w:sz w:val="15"/>
                <w:szCs w:val="15"/>
              </w:rPr>
            </w:pPr>
            <w:r w:rsidRPr="00636169">
              <w:rPr>
                <w:sz w:val="15"/>
                <w:szCs w:val="15"/>
              </w:rPr>
              <w:t>(0.006)</w:t>
            </w:r>
          </w:p>
        </w:tc>
        <w:tc>
          <w:tcPr>
            <w:tcW w:w="1560" w:type="dxa"/>
            <w:tcBorders>
              <w:top w:val="nil"/>
              <w:left w:val="single" w:sz="4" w:space="0" w:color="auto"/>
              <w:bottom w:val="nil"/>
            </w:tcBorders>
            <w:vAlign w:val="center"/>
          </w:tcPr>
          <w:p w14:paraId="657CA13C" w14:textId="77777777" w:rsidR="00A94A10" w:rsidRPr="00636169" w:rsidRDefault="00A94A10" w:rsidP="00BE68EC">
            <w:pPr>
              <w:jc w:val="center"/>
              <w:rPr>
                <w:sz w:val="15"/>
                <w:szCs w:val="15"/>
              </w:rPr>
            </w:pPr>
            <w:r w:rsidRPr="00636169">
              <w:rPr>
                <w:sz w:val="15"/>
                <w:szCs w:val="15"/>
              </w:rPr>
              <w:t>0.094**</w:t>
            </w:r>
            <w:r>
              <w:rPr>
                <w:sz w:val="15"/>
                <w:szCs w:val="15"/>
              </w:rPr>
              <w:t>*</w:t>
            </w:r>
          </w:p>
          <w:p w14:paraId="79426903" w14:textId="77777777" w:rsidR="00A94A10" w:rsidRPr="00636169" w:rsidRDefault="00A94A10" w:rsidP="00BE68EC">
            <w:pPr>
              <w:jc w:val="center"/>
              <w:rPr>
                <w:sz w:val="15"/>
                <w:szCs w:val="15"/>
              </w:rPr>
            </w:pPr>
            <w:r w:rsidRPr="00636169">
              <w:rPr>
                <w:sz w:val="15"/>
                <w:szCs w:val="15"/>
              </w:rPr>
              <w:t>(0.013)</w:t>
            </w:r>
          </w:p>
        </w:tc>
        <w:tc>
          <w:tcPr>
            <w:tcW w:w="1557" w:type="dxa"/>
            <w:tcBorders>
              <w:top w:val="nil"/>
              <w:bottom w:val="nil"/>
            </w:tcBorders>
            <w:vAlign w:val="center"/>
          </w:tcPr>
          <w:p w14:paraId="03C39FB7" w14:textId="77777777" w:rsidR="00A94A10" w:rsidRPr="00636169" w:rsidRDefault="00A94A10" w:rsidP="00BE68EC">
            <w:pPr>
              <w:jc w:val="center"/>
              <w:rPr>
                <w:sz w:val="15"/>
                <w:szCs w:val="15"/>
              </w:rPr>
            </w:pPr>
            <w:r w:rsidRPr="00636169">
              <w:rPr>
                <w:sz w:val="15"/>
                <w:szCs w:val="15"/>
              </w:rPr>
              <w:t>0.0</w:t>
            </w:r>
            <w:r>
              <w:rPr>
                <w:sz w:val="15"/>
                <w:szCs w:val="15"/>
              </w:rPr>
              <w:t>67</w:t>
            </w:r>
            <w:r w:rsidRPr="00636169">
              <w:rPr>
                <w:sz w:val="15"/>
                <w:szCs w:val="15"/>
              </w:rPr>
              <w:t>**</w:t>
            </w:r>
            <w:r>
              <w:rPr>
                <w:sz w:val="15"/>
                <w:szCs w:val="15"/>
              </w:rPr>
              <w:t>*</w:t>
            </w:r>
          </w:p>
          <w:p w14:paraId="02D2DA45" w14:textId="77777777" w:rsidR="00A94A10" w:rsidRPr="00636169" w:rsidRDefault="00A94A10" w:rsidP="00BE68EC">
            <w:pPr>
              <w:jc w:val="center"/>
              <w:rPr>
                <w:sz w:val="15"/>
                <w:szCs w:val="15"/>
              </w:rPr>
            </w:pPr>
            <w:r w:rsidRPr="00636169">
              <w:rPr>
                <w:sz w:val="15"/>
                <w:szCs w:val="15"/>
              </w:rPr>
              <w:t>(0.0</w:t>
            </w:r>
            <w:r>
              <w:rPr>
                <w:sz w:val="15"/>
                <w:szCs w:val="15"/>
              </w:rPr>
              <w:t>12</w:t>
            </w:r>
            <w:r w:rsidRPr="00636169">
              <w:rPr>
                <w:sz w:val="15"/>
                <w:szCs w:val="15"/>
              </w:rPr>
              <w:t>)</w:t>
            </w:r>
          </w:p>
        </w:tc>
        <w:tc>
          <w:tcPr>
            <w:tcW w:w="239" w:type="dxa"/>
            <w:tcBorders>
              <w:top w:val="nil"/>
              <w:bottom w:val="nil"/>
            </w:tcBorders>
          </w:tcPr>
          <w:p w14:paraId="6E0C31AD" w14:textId="77777777" w:rsidR="00A94A10" w:rsidRPr="00636169" w:rsidRDefault="00A94A10" w:rsidP="00BE68EC">
            <w:pPr>
              <w:jc w:val="center"/>
              <w:rPr>
                <w:sz w:val="16"/>
                <w:szCs w:val="16"/>
              </w:rPr>
            </w:pPr>
          </w:p>
        </w:tc>
      </w:tr>
      <w:tr w:rsidR="00A94A10" w:rsidRPr="00636169" w14:paraId="6FFD1AC2" w14:textId="77777777" w:rsidTr="00BE68EC">
        <w:trPr>
          <w:gridAfter w:val="1"/>
          <w:wAfter w:w="1560" w:type="dxa"/>
        </w:trPr>
        <w:tc>
          <w:tcPr>
            <w:tcW w:w="1913" w:type="dxa"/>
            <w:tcBorders>
              <w:top w:val="nil"/>
              <w:bottom w:val="single" w:sz="4" w:space="0" w:color="auto"/>
            </w:tcBorders>
            <w:vAlign w:val="center"/>
          </w:tcPr>
          <w:p w14:paraId="32F5D1DE" w14:textId="77777777" w:rsidR="00A94A10" w:rsidRPr="009C7364" w:rsidRDefault="00A94A10" w:rsidP="00BE68EC">
            <w:pPr>
              <w:rPr>
                <w:sz w:val="15"/>
                <w:szCs w:val="15"/>
              </w:rPr>
            </w:pPr>
            <w:r w:rsidRPr="009C7364">
              <w:rPr>
                <w:sz w:val="15"/>
                <w:szCs w:val="15"/>
              </w:rPr>
              <w:t>Probable mental health problem</w:t>
            </w:r>
          </w:p>
        </w:tc>
        <w:tc>
          <w:tcPr>
            <w:tcW w:w="1773" w:type="dxa"/>
            <w:tcBorders>
              <w:top w:val="nil"/>
              <w:bottom w:val="single" w:sz="4" w:space="0" w:color="auto"/>
            </w:tcBorders>
            <w:vAlign w:val="center"/>
          </w:tcPr>
          <w:p w14:paraId="1B810D37" w14:textId="77777777" w:rsidR="00A94A10" w:rsidRPr="009C7364" w:rsidRDefault="00A94A10" w:rsidP="00BE68EC">
            <w:pPr>
              <w:jc w:val="center"/>
              <w:rPr>
                <w:sz w:val="15"/>
                <w:szCs w:val="15"/>
              </w:rPr>
            </w:pPr>
            <w:r>
              <w:rPr>
                <w:sz w:val="15"/>
                <w:szCs w:val="15"/>
              </w:rPr>
              <w:t>/</w:t>
            </w:r>
          </w:p>
        </w:tc>
        <w:tc>
          <w:tcPr>
            <w:tcW w:w="1984" w:type="dxa"/>
            <w:tcBorders>
              <w:top w:val="nil"/>
              <w:bottom w:val="single" w:sz="4" w:space="0" w:color="auto"/>
              <w:right w:val="single" w:sz="4" w:space="0" w:color="auto"/>
            </w:tcBorders>
            <w:vAlign w:val="center"/>
          </w:tcPr>
          <w:p w14:paraId="40E4A91C" w14:textId="77777777" w:rsidR="00A94A10" w:rsidRPr="00636169" w:rsidRDefault="00A94A10" w:rsidP="00BE68EC">
            <w:pPr>
              <w:jc w:val="center"/>
              <w:rPr>
                <w:sz w:val="15"/>
                <w:szCs w:val="15"/>
              </w:rPr>
            </w:pPr>
            <w:r w:rsidRPr="00636169">
              <w:rPr>
                <w:sz w:val="15"/>
                <w:szCs w:val="15"/>
              </w:rPr>
              <w:t>0.123</w:t>
            </w:r>
            <w:r>
              <w:rPr>
                <w:sz w:val="15"/>
                <w:szCs w:val="15"/>
              </w:rPr>
              <w:t>***</w:t>
            </w:r>
          </w:p>
          <w:p w14:paraId="1F385E82" w14:textId="77777777" w:rsidR="00A94A10" w:rsidRPr="00636169" w:rsidRDefault="00A94A10" w:rsidP="00BE68EC">
            <w:pPr>
              <w:jc w:val="center"/>
              <w:rPr>
                <w:sz w:val="15"/>
                <w:szCs w:val="15"/>
              </w:rPr>
            </w:pPr>
            <w:r w:rsidRPr="00636169">
              <w:rPr>
                <w:sz w:val="15"/>
                <w:szCs w:val="15"/>
              </w:rPr>
              <w:t>(0.014)</w:t>
            </w:r>
          </w:p>
        </w:tc>
        <w:tc>
          <w:tcPr>
            <w:tcW w:w="1560" w:type="dxa"/>
            <w:tcBorders>
              <w:top w:val="nil"/>
              <w:left w:val="single" w:sz="4" w:space="0" w:color="auto"/>
              <w:bottom w:val="single" w:sz="4" w:space="0" w:color="auto"/>
            </w:tcBorders>
            <w:vAlign w:val="center"/>
          </w:tcPr>
          <w:p w14:paraId="508E51B4" w14:textId="77777777" w:rsidR="00A94A10" w:rsidRPr="00636169" w:rsidRDefault="00A94A10" w:rsidP="00BE68EC">
            <w:pPr>
              <w:jc w:val="center"/>
              <w:rPr>
                <w:sz w:val="15"/>
                <w:szCs w:val="15"/>
              </w:rPr>
            </w:pPr>
            <w:r w:rsidRPr="00636169">
              <w:rPr>
                <w:sz w:val="15"/>
                <w:szCs w:val="15"/>
              </w:rPr>
              <w:t>/</w:t>
            </w:r>
          </w:p>
        </w:tc>
        <w:tc>
          <w:tcPr>
            <w:tcW w:w="1557" w:type="dxa"/>
            <w:tcBorders>
              <w:top w:val="nil"/>
              <w:bottom w:val="single" w:sz="4" w:space="0" w:color="auto"/>
            </w:tcBorders>
            <w:vAlign w:val="center"/>
          </w:tcPr>
          <w:p w14:paraId="7EE1543B" w14:textId="77777777" w:rsidR="00A94A10" w:rsidRDefault="00A94A10" w:rsidP="00BE68EC">
            <w:pPr>
              <w:jc w:val="center"/>
              <w:rPr>
                <w:sz w:val="15"/>
                <w:szCs w:val="15"/>
              </w:rPr>
            </w:pPr>
            <w:r>
              <w:rPr>
                <w:sz w:val="15"/>
                <w:szCs w:val="15"/>
              </w:rPr>
              <w:t>0.029***</w:t>
            </w:r>
          </w:p>
          <w:p w14:paraId="25696694" w14:textId="77777777" w:rsidR="00A94A10" w:rsidRPr="00636169" w:rsidRDefault="00A94A10" w:rsidP="00BE68EC">
            <w:pPr>
              <w:jc w:val="center"/>
              <w:rPr>
                <w:sz w:val="15"/>
                <w:szCs w:val="15"/>
              </w:rPr>
            </w:pPr>
            <w:r>
              <w:rPr>
                <w:sz w:val="15"/>
                <w:szCs w:val="15"/>
              </w:rPr>
              <w:t>(0.022)</w:t>
            </w:r>
          </w:p>
        </w:tc>
        <w:tc>
          <w:tcPr>
            <w:tcW w:w="239" w:type="dxa"/>
            <w:tcBorders>
              <w:top w:val="nil"/>
              <w:bottom w:val="single" w:sz="4" w:space="0" w:color="auto"/>
            </w:tcBorders>
          </w:tcPr>
          <w:p w14:paraId="5790FB14" w14:textId="77777777" w:rsidR="00A94A10" w:rsidRPr="00636169" w:rsidRDefault="00A94A10" w:rsidP="00BE68EC">
            <w:pPr>
              <w:jc w:val="center"/>
              <w:rPr>
                <w:sz w:val="14"/>
                <w:szCs w:val="14"/>
              </w:rPr>
            </w:pPr>
          </w:p>
        </w:tc>
      </w:tr>
      <w:tr w:rsidR="00A94A10" w:rsidRPr="00636169" w14:paraId="4A57A161" w14:textId="77777777" w:rsidTr="00BE68EC">
        <w:trPr>
          <w:gridAfter w:val="1"/>
          <w:wAfter w:w="1560" w:type="dxa"/>
        </w:trPr>
        <w:tc>
          <w:tcPr>
            <w:tcW w:w="1913" w:type="dxa"/>
            <w:tcBorders>
              <w:top w:val="single" w:sz="4" w:space="0" w:color="auto"/>
            </w:tcBorders>
            <w:vAlign w:val="center"/>
          </w:tcPr>
          <w:p w14:paraId="5BF88547" w14:textId="77777777" w:rsidR="00A94A10" w:rsidRPr="00AE58C7" w:rsidRDefault="00A94A10" w:rsidP="00BE68EC">
            <w:pPr>
              <w:spacing w:line="360" w:lineRule="auto"/>
              <w:rPr>
                <w:sz w:val="14"/>
                <w:szCs w:val="14"/>
                <w:vertAlign w:val="superscript"/>
              </w:rPr>
            </w:pPr>
            <w:r w:rsidRPr="00AE58C7">
              <w:rPr>
                <w:sz w:val="14"/>
                <w:szCs w:val="14"/>
              </w:rPr>
              <w:t>Pseudo R</w:t>
            </w:r>
            <w:r w:rsidRPr="00AE58C7">
              <w:rPr>
                <w:sz w:val="14"/>
                <w:szCs w:val="14"/>
                <w:vertAlign w:val="superscript"/>
              </w:rPr>
              <w:t>2</w:t>
            </w:r>
          </w:p>
        </w:tc>
        <w:tc>
          <w:tcPr>
            <w:tcW w:w="1773" w:type="dxa"/>
            <w:tcBorders>
              <w:top w:val="single" w:sz="4" w:space="0" w:color="auto"/>
            </w:tcBorders>
            <w:vAlign w:val="center"/>
          </w:tcPr>
          <w:p w14:paraId="681DD7EC" w14:textId="77777777" w:rsidR="00A94A10" w:rsidRPr="00AE58C7" w:rsidRDefault="00A94A10" w:rsidP="00BE68EC">
            <w:pPr>
              <w:jc w:val="center"/>
              <w:rPr>
                <w:sz w:val="14"/>
                <w:szCs w:val="14"/>
              </w:rPr>
            </w:pPr>
            <w:r w:rsidRPr="00AE58C7">
              <w:rPr>
                <w:sz w:val="14"/>
                <w:szCs w:val="14"/>
              </w:rPr>
              <w:t>0.19</w:t>
            </w:r>
            <w:r>
              <w:rPr>
                <w:sz w:val="14"/>
                <w:szCs w:val="14"/>
              </w:rPr>
              <w:t>6</w:t>
            </w:r>
          </w:p>
        </w:tc>
        <w:tc>
          <w:tcPr>
            <w:tcW w:w="1984" w:type="dxa"/>
            <w:tcBorders>
              <w:top w:val="single" w:sz="4" w:space="0" w:color="auto"/>
              <w:right w:val="single" w:sz="4" w:space="0" w:color="auto"/>
            </w:tcBorders>
            <w:vAlign w:val="center"/>
          </w:tcPr>
          <w:p w14:paraId="5BF15E7C" w14:textId="77777777" w:rsidR="00A94A10" w:rsidRPr="00636169" w:rsidRDefault="00A94A10" w:rsidP="00BE68EC">
            <w:pPr>
              <w:jc w:val="center"/>
              <w:rPr>
                <w:sz w:val="14"/>
                <w:szCs w:val="14"/>
              </w:rPr>
            </w:pPr>
            <w:r w:rsidRPr="00636169">
              <w:rPr>
                <w:sz w:val="14"/>
                <w:szCs w:val="14"/>
              </w:rPr>
              <w:t>0.320</w:t>
            </w:r>
          </w:p>
        </w:tc>
        <w:tc>
          <w:tcPr>
            <w:tcW w:w="1560" w:type="dxa"/>
            <w:tcBorders>
              <w:top w:val="single" w:sz="4" w:space="0" w:color="auto"/>
              <w:left w:val="single" w:sz="4" w:space="0" w:color="auto"/>
            </w:tcBorders>
            <w:vAlign w:val="center"/>
          </w:tcPr>
          <w:p w14:paraId="55C2AE83" w14:textId="77777777" w:rsidR="00A94A10" w:rsidRPr="00636169" w:rsidRDefault="00A94A10" w:rsidP="00BE68EC">
            <w:pPr>
              <w:jc w:val="center"/>
              <w:rPr>
                <w:sz w:val="14"/>
                <w:szCs w:val="14"/>
              </w:rPr>
            </w:pPr>
            <w:r w:rsidRPr="00636169">
              <w:rPr>
                <w:sz w:val="14"/>
                <w:szCs w:val="14"/>
              </w:rPr>
              <w:t>0.122</w:t>
            </w:r>
          </w:p>
        </w:tc>
        <w:tc>
          <w:tcPr>
            <w:tcW w:w="1557" w:type="dxa"/>
            <w:tcBorders>
              <w:top w:val="single" w:sz="4" w:space="0" w:color="auto"/>
            </w:tcBorders>
            <w:vAlign w:val="center"/>
          </w:tcPr>
          <w:p w14:paraId="28ADADE9" w14:textId="77777777" w:rsidR="00A94A10" w:rsidRPr="00636169" w:rsidRDefault="00A94A10" w:rsidP="00BE68EC">
            <w:pPr>
              <w:jc w:val="center"/>
              <w:rPr>
                <w:sz w:val="14"/>
                <w:szCs w:val="14"/>
              </w:rPr>
            </w:pPr>
            <w:r w:rsidRPr="00636169">
              <w:rPr>
                <w:sz w:val="14"/>
                <w:szCs w:val="14"/>
              </w:rPr>
              <w:t>0.1</w:t>
            </w:r>
            <w:r>
              <w:rPr>
                <w:sz w:val="14"/>
                <w:szCs w:val="14"/>
              </w:rPr>
              <w:t>87</w:t>
            </w:r>
          </w:p>
        </w:tc>
        <w:tc>
          <w:tcPr>
            <w:tcW w:w="239" w:type="dxa"/>
            <w:tcBorders>
              <w:top w:val="single" w:sz="4" w:space="0" w:color="auto"/>
            </w:tcBorders>
          </w:tcPr>
          <w:p w14:paraId="29F580B6" w14:textId="77777777" w:rsidR="00A94A10" w:rsidRPr="00636169" w:rsidRDefault="00A94A10" w:rsidP="00BE68EC">
            <w:pPr>
              <w:jc w:val="center"/>
              <w:rPr>
                <w:sz w:val="14"/>
                <w:szCs w:val="14"/>
              </w:rPr>
            </w:pPr>
          </w:p>
        </w:tc>
      </w:tr>
      <w:tr w:rsidR="00A94A10" w:rsidRPr="00636169" w14:paraId="4726D40C" w14:textId="77777777" w:rsidTr="00BE68EC">
        <w:trPr>
          <w:gridAfter w:val="1"/>
          <w:wAfter w:w="1560" w:type="dxa"/>
        </w:trPr>
        <w:tc>
          <w:tcPr>
            <w:tcW w:w="1913" w:type="dxa"/>
            <w:vAlign w:val="center"/>
          </w:tcPr>
          <w:p w14:paraId="1ED6E939" w14:textId="77777777" w:rsidR="00A94A10" w:rsidRPr="00AE58C7" w:rsidRDefault="00A94A10" w:rsidP="00BE68EC">
            <w:pPr>
              <w:spacing w:line="360" w:lineRule="auto"/>
              <w:rPr>
                <w:sz w:val="14"/>
                <w:szCs w:val="14"/>
              </w:rPr>
            </w:pPr>
            <w:r w:rsidRPr="00AE58C7">
              <w:rPr>
                <w:sz w:val="14"/>
                <w:szCs w:val="14"/>
              </w:rPr>
              <w:t>Log-likelihood</w:t>
            </w:r>
          </w:p>
        </w:tc>
        <w:tc>
          <w:tcPr>
            <w:tcW w:w="1773" w:type="dxa"/>
            <w:vAlign w:val="center"/>
          </w:tcPr>
          <w:p w14:paraId="35BDE129" w14:textId="77777777" w:rsidR="00A94A10" w:rsidRPr="00AE58C7" w:rsidRDefault="00A94A10" w:rsidP="00BE68EC">
            <w:pPr>
              <w:jc w:val="center"/>
              <w:rPr>
                <w:sz w:val="14"/>
                <w:szCs w:val="14"/>
              </w:rPr>
            </w:pPr>
            <w:r w:rsidRPr="00AE58C7">
              <w:rPr>
                <w:sz w:val="14"/>
                <w:szCs w:val="14"/>
              </w:rPr>
              <w:t>-96</w:t>
            </w:r>
            <w:r>
              <w:rPr>
                <w:sz w:val="14"/>
                <w:szCs w:val="14"/>
              </w:rPr>
              <w:t>4.4</w:t>
            </w:r>
          </w:p>
        </w:tc>
        <w:tc>
          <w:tcPr>
            <w:tcW w:w="1984" w:type="dxa"/>
            <w:tcBorders>
              <w:right w:val="single" w:sz="4" w:space="0" w:color="auto"/>
            </w:tcBorders>
            <w:vAlign w:val="center"/>
          </w:tcPr>
          <w:p w14:paraId="5073B73D" w14:textId="77777777" w:rsidR="00A94A10" w:rsidRPr="00636169" w:rsidRDefault="00A94A10" w:rsidP="00BE68EC">
            <w:pPr>
              <w:jc w:val="center"/>
              <w:rPr>
                <w:sz w:val="14"/>
                <w:szCs w:val="14"/>
              </w:rPr>
            </w:pPr>
            <w:r w:rsidRPr="00636169">
              <w:rPr>
                <w:sz w:val="14"/>
                <w:szCs w:val="14"/>
              </w:rPr>
              <w:t>-816.2</w:t>
            </w:r>
          </w:p>
        </w:tc>
        <w:tc>
          <w:tcPr>
            <w:tcW w:w="1560" w:type="dxa"/>
            <w:tcBorders>
              <w:left w:val="single" w:sz="4" w:space="0" w:color="auto"/>
            </w:tcBorders>
            <w:vAlign w:val="center"/>
          </w:tcPr>
          <w:p w14:paraId="024974BB" w14:textId="77777777" w:rsidR="00A94A10" w:rsidRPr="00636169" w:rsidRDefault="00A94A10" w:rsidP="00BE68EC">
            <w:pPr>
              <w:jc w:val="center"/>
              <w:rPr>
                <w:sz w:val="14"/>
                <w:szCs w:val="14"/>
              </w:rPr>
            </w:pPr>
            <w:r w:rsidRPr="00636169">
              <w:rPr>
                <w:sz w:val="14"/>
                <w:szCs w:val="14"/>
              </w:rPr>
              <w:t>-25</w:t>
            </w:r>
            <w:r>
              <w:rPr>
                <w:sz w:val="14"/>
                <w:szCs w:val="14"/>
              </w:rPr>
              <w:t>78.4</w:t>
            </w:r>
          </w:p>
        </w:tc>
        <w:tc>
          <w:tcPr>
            <w:tcW w:w="1557" w:type="dxa"/>
            <w:vAlign w:val="center"/>
          </w:tcPr>
          <w:p w14:paraId="570FEE0B" w14:textId="77777777" w:rsidR="00A94A10" w:rsidRPr="00636169" w:rsidRDefault="00A94A10" w:rsidP="00BE68EC">
            <w:pPr>
              <w:jc w:val="center"/>
              <w:rPr>
                <w:sz w:val="14"/>
                <w:szCs w:val="14"/>
              </w:rPr>
            </w:pPr>
            <w:r w:rsidRPr="00636169">
              <w:rPr>
                <w:sz w:val="14"/>
                <w:szCs w:val="14"/>
              </w:rPr>
              <w:t>-</w:t>
            </w:r>
            <w:r>
              <w:rPr>
                <w:sz w:val="14"/>
                <w:szCs w:val="14"/>
              </w:rPr>
              <w:t>2387.6</w:t>
            </w:r>
          </w:p>
        </w:tc>
        <w:tc>
          <w:tcPr>
            <w:tcW w:w="239" w:type="dxa"/>
          </w:tcPr>
          <w:p w14:paraId="192BFA1C" w14:textId="77777777" w:rsidR="00A94A10" w:rsidRPr="00636169" w:rsidRDefault="00A94A10" w:rsidP="00BE68EC">
            <w:pPr>
              <w:jc w:val="center"/>
              <w:rPr>
                <w:sz w:val="14"/>
                <w:szCs w:val="14"/>
              </w:rPr>
            </w:pPr>
          </w:p>
        </w:tc>
      </w:tr>
      <w:tr w:rsidR="00A94A10" w:rsidRPr="00636169" w14:paraId="2DBC05D6" w14:textId="77777777" w:rsidTr="00BE68EC">
        <w:trPr>
          <w:gridAfter w:val="1"/>
          <w:wAfter w:w="1560" w:type="dxa"/>
        </w:trPr>
        <w:tc>
          <w:tcPr>
            <w:tcW w:w="1913" w:type="dxa"/>
            <w:tcBorders>
              <w:bottom w:val="single" w:sz="4" w:space="0" w:color="auto"/>
            </w:tcBorders>
            <w:vAlign w:val="center"/>
          </w:tcPr>
          <w:p w14:paraId="37A19BF6" w14:textId="77777777" w:rsidR="00A94A10" w:rsidRPr="00AE58C7" w:rsidRDefault="00A94A10" w:rsidP="00BE68EC">
            <w:pPr>
              <w:spacing w:line="360" w:lineRule="auto"/>
              <w:rPr>
                <w:sz w:val="14"/>
                <w:szCs w:val="14"/>
              </w:rPr>
            </w:pPr>
            <w:r w:rsidRPr="00AE58C7">
              <w:rPr>
                <w:sz w:val="14"/>
                <w:szCs w:val="14"/>
              </w:rPr>
              <w:t>N</w:t>
            </w:r>
          </w:p>
        </w:tc>
        <w:tc>
          <w:tcPr>
            <w:tcW w:w="1773" w:type="dxa"/>
            <w:tcBorders>
              <w:bottom w:val="single" w:sz="4" w:space="0" w:color="auto"/>
            </w:tcBorders>
            <w:vAlign w:val="center"/>
          </w:tcPr>
          <w:p w14:paraId="4DE910C5" w14:textId="77777777" w:rsidR="00A94A10" w:rsidRPr="00AE58C7" w:rsidRDefault="00A94A10" w:rsidP="00BE68EC">
            <w:pPr>
              <w:jc w:val="center"/>
              <w:rPr>
                <w:sz w:val="14"/>
                <w:szCs w:val="14"/>
              </w:rPr>
            </w:pPr>
            <w:r w:rsidRPr="00AE58C7">
              <w:rPr>
                <w:sz w:val="14"/>
                <w:szCs w:val="14"/>
              </w:rPr>
              <w:t>73</w:t>
            </w:r>
            <w:r>
              <w:rPr>
                <w:sz w:val="14"/>
                <w:szCs w:val="14"/>
              </w:rPr>
              <w:t>14</w:t>
            </w:r>
          </w:p>
        </w:tc>
        <w:tc>
          <w:tcPr>
            <w:tcW w:w="1984" w:type="dxa"/>
            <w:tcBorders>
              <w:bottom w:val="single" w:sz="4" w:space="0" w:color="auto"/>
              <w:right w:val="single" w:sz="4" w:space="0" w:color="auto"/>
            </w:tcBorders>
            <w:vAlign w:val="center"/>
          </w:tcPr>
          <w:p w14:paraId="01353EB2" w14:textId="77777777" w:rsidR="00A94A10" w:rsidRPr="00636169" w:rsidRDefault="00A94A10" w:rsidP="00BE68EC">
            <w:pPr>
              <w:jc w:val="center"/>
              <w:rPr>
                <w:sz w:val="14"/>
                <w:szCs w:val="14"/>
              </w:rPr>
            </w:pPr>
            <w:r w:rsidRPr="00636169">
              <w:rPr>
                <w:sz w:val="14"/>
                <w:szCs w:val="14"/>
              </w:rPr>
              <w:t>7314</w:t>
            </w:r>
          </w:p>
        </w:tc>
        <w:tc>
          <w:tcPr>
            <w:tcW w:w="1560" w:type="dxa"/>
            <w:tcBorders>
              <w:left w:val="single" w:sz="4" w:space="0" w:color="auto"/>
              <w:bottom w:val="single" w:sz="4" w:space="0" w:color="auto"/>
            </w:tcBorders>
            <w:vAlign w:val="center"/>
          </w:tcPr>
          <w:p w14:paraId="72B2E011" w14:textId="77777777" w:rsidR="00A94A10" w:rsidRPr="00636169" w:rsidRDefault="00A94A10" w:rsidP="00BE68EC">
            <w:pPr>
              <w:jc w:val="center"/>
              <w:rPr>
                <w:sz w:val="14"/>
                <w:szCs w:val="14"/>
              </w:rPr>
            </w:pPr>
            <w:r w:rsidRPr="00636169">
              <w:rPr>
                <w:sz w:val="14"/>
                <w:szCs w:val="14"/>
              </w:rPr>
              <w:t>7314</w:t>
            </w:r>
          </w:p>
        </w:tc>
        <w:tc>
          <w:tcPr>
            <w:tcW w:w="1557" w:type="dxa"/>
            <w:tcBorders>
              <w:bottom w:val="single" w:sz="4" w:space="0" w:color="auto"/>
            </w:tcBorders>
            <w:vAlign w:val="center"/>
          </w:tcPr>
          <w:p w14:paraId="534AEF3A" w14:textId="77777777" w:rsidR="00A94A10" w:rsidRPr="00636169" w:rsidRDefault="00A94A10" w:rsidP="00BE68EC">
            <w:pPr>
              <w:jc w:val="center"/>
              <w:rPr>
                <w:sz w:val="14"/>
                <w:szCs w:val="14"/>
              </w:rPr>
            </w:pPr>
            <w:r w:rsidRPr="00636169">
              <w:rPr>
                <w:sz w:val="14"/>
                <w:szCs w:val="14"/>
              </w:rPr>
              <w:t>7314</w:t>
            </w:r>
          </w:p>
        </w:tc>
        <w:tc>
          <w:tcPr>
            <w:tcW w:w="239" w:type="dxa"/>
            <w:tcBorders>
              <w:bottom w:val="single" w:sz="4" w:space="0" w:color="auto"/>
            </w:tcBorders>
          </w:tcPr>
          <w:p w14:paraId="7CC85D9B" w14:textId="77777777" w:rsidR="00A94A10" w:rsidRPr="00636169" w:rsidRDefault="00A94A10" w:rsidP="00BE68EC">
            <w:pPr>
              <w:jc w:val="center"/>
              <w:rPr>
                <w:sz w:val="14"/>
                <w:szCs w:val="14"/>
              </w:rPr>
            </w:pPr>
          </w:p>
        </w:tc>
      </w:tr>
      <w:tr w:rsidR="00A94A10" w:rsidRPr="00915CC9" w14:paraId="695B2F39" w14:textId="77777777" w:rsidTr="00BE68EC">
        <w:trPr>
          <w:gridAfter w:val="1"/>
          <w:wAfter w:w="1560" w:type="dxa"/>
        </w:trPr>
        <w:tc>
          <w:tcPr>
            <w:tcW w:w="9026" w:type="dxa"/>
            <w:gridSpan w:val="6"/>
            <w:tcBorders>
              <w:top w:val="single" w:sz="4" w:space="0" w:color="auto"/>
              <w:bottom w:val="single" w:sz="4" w:space="0" w:color="auto"/>
            </w:tcBorders>
          </w:tcPr>
          <w:p w14:paraId="2138A668" w14:textId="77777777" w:rsidR="00A94A10" w:rsidRPr="00AE58C7" w:rsidRDefault="00A94A10" w:rsidP="00BE68EC">
            <w:pPr>
              <w:rPr>
                <w:sz w:val="14"/>
                <w:szCs w:val="14"/>
              </w:rPr>
            </w:pPr>
            <w:r w:rsidRPr="00AE58C7">
              <w:rPr>
                <w:sz w:val="14"/>
                <w:szCs w:val="14"/>
              </w:rPr>
              <w:t>Notes: Statistical significance denoted by p-values: +p&lt;0.1, *p&lt;0.05, **p&lt;0.01, ***p&lt;0.001.</w:t>
            </w:r>
          </w:p>
          <w:p w14:paraId="15549816" w14:textId="77777777" w:rsidR="00A94A10" w:rsidRPr="00AE58C7" w:rsidRDefault="00A94A10" w:rsidP="00BE68EC">
            <w:pPr>
              <w:rPr>
                <w:sz w:val="14"/>
                <w:szCs w:val="14"/>
              </w:rPr>
            </w:pPr>
            <w:r>
              <w:rPr>
                <w:sz w:val="14"/>
                <w:szCs w:val="14"/>
              </w:rPr>
              <w:t xml:space="preserve">Estimates are presented as average marginal effects. </w:t>
            </w:r>
            <w:r w:rsidRPr="00AE58C7">
              <w:rPr>
                <w:sz w:val="14"/>
                <w:szCs w:val="14"/>
              </w:rPr>
              <w:t>Robust standard errors in parentheses.</w:t>
            </w:r>
          </w:p>
        </w:tc>
      </w:tr>
    </w:tbl>
    <w:p w14:paraId="6413F38E" w14:textId="77777777" w:rsidR="00A94A10" w:rsidRDefault="00A94A10" w:rsidP="002E3645">
      <w:pPr>
        <w:spacing w:line="360" w:lineRule="auto"/>
        <w:rPr>
          <w:b/>
          <w:bCs/>
        </w:rPr>
      </w:pPr>
    </w:p>
    <w:p w14:paraId="03737673" w14:textId="77777777" w:rsidR="00A94A10" w:rsidRDefault="00A94A10" w:rsidP="002E3645">
      <w:pPr>
        <w:spacing w:line="360" w:lineRule="auto"/>
        <w:rPr>
          <w:b/>
          <w:bCs/>
        </w:rPr>
      </w:pPr>
    </w:p>
    <w:p w14:paraId="4E7FCE00" w14:textId="77777777" w:rsidR="00A94A10" w:rsidRDefault="00A94A10">
      <w:pPr>
        <w:rPr>
          <w:b/>
          <w:bCs/>
        </w:rPr>
      </w:pPr>
      <w:r>
        <w:rPr>
          <w:b/>
          <w:bCs/>
        </w:rPr>
        <w:br w:type="page"/>
      </w:r>
    </w:p>
    <w:p w14:paraId="03BD928A" w14:textId="6623937B" w:rsidR="00A94A10" w:rsidRPr="00EE2995" w:rsidRDefault="00A94A10" w:rsidP="00A94A10">
      <w:pPr>
        <w:spacing w:line="360" w:lineRule="auto"/>
        <w:rPr>
          <w:b/>
          <w:bCs/>
        </w:rPr>
      </w:pPr>
      <w:r w:rsidRPr="00EE2995">
        <w:rPr>
          <w:b/>
          <w:bCs/>
        </w:rPr>
        <w:t xml:space="preserve">Table </w:t>
      </w:r>
      <w:r>
        <w:rPr>
          <w:b/>
          <w:bCs/>
        </w:rPr>
        <w:t>A-6</w:t>
      </w:r>
      <w:r w:rsidRPr="00EE2995">
        <w:rPr>
          <w:b/>
          <w:bCs/>
        </w:rPr>
        <w:t>: Estimation results on mental health</w:t>
      </w:r>
      <w:r>
        <w:rPr>
          <w:b/>
          <w:bCs/>
        </w:rPr>
        <w:t>,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1571"/>
        <w:gridCol w:w="651"/>
        <w:gridCol w:w="921"/>
        <w:gridCol w:w="1571"/>
        <w:gridCol w:w="1572"/>
      </w:tblGrid>
      <w:tr w:rsidR="00A94A10" w:rsidRPr="00AE58C7" w14:paraId="50650DF6" w14:textId="77777777" w:rsidTr="00BE68EC">
        <w:tc>
          <w:tcPr>
            <w:tcW w:w="2740" w:type="dxa"/>
            <w:tcBorders>
              <w:top w:val="single" w:sz="4" w:space="0" w:color="auto"/>
              <w:bottom w:val="single" w:sz="4" w:space="0" w:color="auto"/>
            </w:tcBorders>
          </w:tcPr>
          <w:p w14:paraId="1AAB6EAF" w14:textId="77777777" w:rsidR="00A94A10" w:rsidRPr="00AE58C7" w:rsidRDefault="00A94A10" w:rsidP="00BE68EC">
            <w:pPr>
              <w:rPr>
                <w:b/>
                <w:bCs/>
                <w:sz w:val="16"/>
                <w:szCs w:val="16"/>
              </w:rPr>
            </w:pPr>
          </w:p>
        </w:tc>
        <w:tc>
          <w:tcPr>
            <w:tcW w:w="3143" w:type="dxa"/>
            <w:gridSpan w:val="3"/>
            <w:tcBorders>
              <w:top w:val="single" w:sz="4" w:space="0" w:color="auto"/>
              <w:bottom w:val="single" w:sz="4" w:space="0" w:color="auto"/>
              <w:right w:val="single" w:sz="4" w:space="0" w:color="auto"/>
            </w:tcBorders>
            <w:vAlign w:val="center"/>
          </w:tcPr>
          <w:p w14:paraId="3DC1EC0B" w14:textId="77777777" w:rsidR="00A94A10" w:rsidRPr="007B3354" w:rsidRDefault="00A94A10" w:rsidP="00BE68EC">
            <w:pPr>
              <w:jc w:val="center"/>
              <w:rPr>
                <w:sz w:val="16"/>
                <w:szCs w:val="16"/>
              </w:rPr>
            </w:pPr>
            <w:r w:rsidRPr="007B3354">
              <w:rPr>
                <w:sz w:val="20"/>
                <w:szCs w:val="20"/>
              </w:rPr>
              <w:t>Probable mental health problem</w:t>
            </w:r>
          </w:p>
        </w:tc>
        <w:tc>
          <w:tcPr>
            <w:tcW w:w="3143" w:type="dxa"/>
            <w:gridSpan w:val="2"/>
            <w:tcBorders>
              <w:top w:val="single" w:sz="4" w:space="0" w:color="auto"/>
              <w:left w:val="single" w:sz="4" w:space="0" w:color="auto"/>
              <w:bottom w:val="single" w:sz="4" w:space="0" w:color="auto"/>
            </w:tcBorders>
          </w:tcPr>
          <w:p w14:paraId="53892BE0" w14:textId="77777777" w:rsidR="00A94A10" w:rsidRPr="007B3354" w:rsidRDefault="00A94A10" w:rsidP="00BE68EC">
            <w:pPr>
              <w:jc w:val="center"/>
              <w:rPr>
                <w:sz w:val="16"/>
                <w:szCs w:val="16"/>
              </w:rPr>
            </w:pPr>
            <w:r w:rsidRPr="000F59E1">
              <w:rPr>
                <w:sz w:val="20"/>
                <w:szCs w:val="20"/>
              </w:rPr>
              <w:t>Good quality of life</w:t>
            </w:r>
          </w:p>
        </w:tc>
      </w:tr>
      <w:tr w:rsidR="00A94A10" w:rsidRPr="00AE58C7" w14:paraId="4AA11F36" w14:textId="77777777" w:rsidTr="00BE68EC">
        <w:tc>
          <w:tcPr>
            <w:tcW w:w="2740" w:type="dxa"/>
            <w:tcBorders>
              <w:top w:val="single" w:sz="4" w:space="0" w:color="auto"/>
              <w:bottom w:val="single" w:sz="4" w:space="0" w:color="auto"/>
            </w:tcBorders>
          </w:tcPr>
          <w:p w14:paraId="4FD56B2F" w14:textId="77777777" w:rsidR="00A94A10" w:rsidRPr="00AE58C7" w:rsidRDefault="00A94A10" w:rsidP="00BE68EC">
            <w:pPr>
              <w:rPr>
                <w:b/>
                <w:bCs/>
                <w:sz w:val="16"/>
                <w:szCs w:val="16"/>
              </w:rPr>
            </w:pPr>
          </w:p>
        </w:tc>
        <w:tc>
          <w:tcPr>
            <w:tcW w:w="1571" w:type="dxa"/>
            <w:tcBorders>
              <w:top w:val="single" w:sz="4" w:space="0" w:color="auto"/>
              <w:bottom w:val="single" w:sz="4" w:space="0" w:color="auto"/>
            </w:tcBorders>
            <w:vAlign w:val="center"/>
          </w:tcPr>
          <w:p w14:paraId="497DDB97" w14:textId="77777777" w:rsidR="00A94A10" w:rsidRPr="00636169" w:rsidRDefault="00A94A10" w:rsidP="00BE68EC">
            <w:pPr>
              <w:jc w:val="center"/>
              <w:rPr>
                <w:sz w:val="16"/>
                <w:szCs w:val="16"/>
                <w:highlight w:val="cyan"/>
              </w:rPr>
            </w:pPr>
            <w:r w:rsidRPr="00211D75">
              <w:rPr>
                <w:sz w:val="16"/>
                <w:szCs w:val="16"/>
              </w:rPr>
              <w:t>(1)</w:t>
            </w:r>
          </w:p>
        </w:tc>
        <w:tc>
          <w:tcPr>
            <w:tcW w:w="1572" w:type="dxa"/>
            <w:gridSpan w:val="2"/>
            <w:tcBorders>
              <w:top w:val="single" w:sz="4" w:space="0" w:color="auto"/>
              <w:bottom w:val="single" w:sz="4" w:space="0" w:color="auto"/>
              <w:right w:val="single" w:sz="4" w:space="0" w:color="auto"/>
            </w:tcBorders>
            <w:vAlign w:val="center"/>
          </w:tcPr>
          <w:p w14:paraId="7C5E10CF" w14:textId="77777777" w:rsidR="00A94A10" w:rsidRPr="00636169" w:rsidRDefault="00A94A10" w:rsidP="00BE68EC">
            <w:pPr>
              <w:jc w:val="center"/>
              <w:rPr>
                <w:sz w:val="16"/>
                <w:szCs w:val="16"/>
                <w:highlight w:val="cyan"/>
              </w:rPr>
            </w:pPr>
            <w:r w:rsidRPr="002F6263">
              <w:rPr>
                <w:sz w:val="16"/>
                <w:szCs w:val="16"/>
              </w:rPr>
              <w:t>(2)</w:t>
            </w:r>
          </w:p>
        </w:tc>
        <w:tc>
          <w:tcPr>
            <w:tcW w:w="1571" w:type="dxa"/>
            <w:tcBorders>
              <w:top w:val="single" w:sz="4" w:space="0" w:color="auto"/>
              <w:left w:val="single" w:sz="4" w:space="0" w:color="auto"/>
              <w:bottom w:val="single" w:sz="4" w:space="0" w:color="auto"/>
            </w:tcBorders>
            <w:vAlign w:val="center"/>
          </w:tcPr>
          <w:p w14:paraId="3FB7D70D" w14:textId="77777777" w:rsidR="00A94A10" w:rsidRPr="007B3354" w:rsidRDefault="00A94A10" w:rsidP="00BE68EC">
            <w:pPr>
              <w:jc w:val="center"/>
              <w:rPr>
                <w:sz w:val="16"/>
                <w:szCs w:val="16"/>
              </w:rPr>
            </w:pPr>
            <w:r w:rsidRPr="007B3354">
              <w:rPr>
                <w:sz w:val="16"/>
                <w:szCs w:val="16"/>
              </w:rPr>
              <w:t>(1)</w:t>
            </w:r>
          </w:p>
        </w:tc>
        <w:tc>
          <w:tcPr>
            <w:tcW w:w="1572" w:type="dxa"/>
            <w:tcBorders>
              <w:top w:val="single" w:sz="4" w:space="0" w:color="auto"/>
              <w:bottom w:val="single" w:sz="4" w:space="0" w:color="auto"/>
            </w:tcBorders>
            <w:vAlign w:val="center"/>
          </w:tcPr>
          <w:p w14:paraId="0AC1DF53" w14:textId="77777777" w:rsidR="00A94A10" w:rsidRPr="007B3354" w:rsidRDefault="00A94A10" w:rsidP="00BE68EC">
            <w:pPr>
              <w:jc w:val="center"/>
              <w:rPr>
                <w:sz w:val="16"/>
                <w:szCs w:val="16"/>
              </w:rPr>
            </w:pPr>
            <w:r w:rsidRPr="007B3354">
              <w:rPr>
                <w:sz w:val="16"/>
                <w:szCs w:val="16"/>
              </w:rPr>
              <w:t>(2)</w:t>
            </w:r>
          </w:p>
        </w:tc>
      </w:tr>
      <w:tr w:rsidR="00A94A10" w:rsidRPr="00AE58C7" w14:paraId="570DC96F" w14:textId="77777777" w:rsidTr="00BE68EC">
        <w:tc>
          <w:tcPr>
            <w:tcW w:w="2740" w:type="dxa"/>
            <w:tcBorders>
              <w:top w:val="single" w:sz="4" w:space="0" w:color="auto"/>
              <w:bottom w:val="nil"/>
            </w:tcBorders>
            <w:vAlign w:val="center"/>
          </w:tcPr>
          <w:p w14:paraId="22372CF7" w14:textId="77777777" w:rsidR="00A94A10" w:rsidRPr="00AE58C7" w:rsidRDefault="00A94A10" w:rsidP="00BE68EC">
            <w:pPr>
              <w:rPr>
                <w:sz w:val="16"/>
                <w:szCs w:val="16"/>
              </w:rPr>
            </w:pPr>
            <w:r w:rsidRPr="00AE58C7">
              <w:rPr>
                <w:sz w:val="16"/>
                <w:szCs w:val="16"/>
              </w:rPr>
              <w:t>Often/always lonely</w:t>
            </w:r>
          </w:p>
        </w:tc>
        <w:tc>
          <w:tcPr>
            <w:tcW w:w="1571" w:type="dxa"/>
            <w:tcBorders>
              <w:top w:val="single" w:sz="4" w:space="0" w:color="auto"/>
              <w:bottom w:val="nil"/>
            </w:tcBorders>
            <w:vAlign w:val="center"/>
          </w:tcPr>
          <w:p w14:paraId="39C4CB1C" w14:textId="053BB661" w:rsidR="00A94A10" w:rsidRPr="00AE58C7" w:rsidRDefault="00A94A10" w:rsidP="00BE68EC">
            <w:pPr>
              <w:jc w:val="center"/>
              <w:rPr>
                <w:sz w:val="16"/>
                <w:szCs w:val="16"/>
              </w:rPr>
            </w:pPr>
            <w:r w:rsidRPr="00AE58C7">
              <w:rPr>
                <w:sz w:val="16"/>
                <w:szCs w:val="16"/>
              </w:rPr>
              <w:t>0.39</w:t>
            </w:r>
            <w:r w:rsidR="00431DBC">
              <w:rPr>
                <w:sz w:val="16"/>
                <w:szCs w:val="16"/>
              </w:rPr>
              <w:t>7</w:t>
            </w:r>
            <w:r w:rsidRPr="00AE58C7">
              <w:rPr>
                <w:sz w:val="16"/>
                <w:szCs w:val="16"/>
              </w:rPr>
              <w:t>***</w:t>
            </w:r>
          </w:p>
          <w:p w14:paraId="4DB0C0AC" w14:textId="77777777" w:rsidR="00A94A10" w:rsidRPr="00AE58C7" w:rsidRDefault="00A94A10" w:rsidP="00BE68EC">
            <w:pPr>
              <w:jc w:val="center"/>
              <w:rPr>
                <w:sz w:val="16"/>
                <w:szCs w:val="16"/>
              </w:rPr>
            </w:pPr>
            <w:r w:rsidRPr="00AE58C7">
              <w:rPr>
                <w:sz w:val="16"/>
                <w:szCs w:val="16"/>
              </w:rPr>
              <w:t>(0.041)</w:t>
            </w:r>
          </w:p>
        </w:tc>
        <w:tc>
          <w:tcPr>
            <w:tcW w:w="1572" w:type="dxa"/>
            <w:gridSpan w:val="2"/>
            <w:tcBorders>
              <w:top w:val="single" w:sz="4" w:space="0" w:color="auto"/>
              <w:bottom w:val="nil"/>
              <w:right w:val="single" w:sz="4" w:space="0" w:color="auto"/>
            </w:tcBorders>
            <w:vAlign w:val="center"/>
          </w:tcPr>
          <w:p w14:paraId="10DC559D" w14:textId="77777777" w:rsidR="00A94A10" w:rsidRPr="00AE58C7" w:rsidRDefault="00A94A10" w:rsidP="00BE68EC">
            <w:pPr>
              <w:jc w:val="center"/>
              <w:rPr>
                <w:sz w:val="16"/>
                <w:szCs w:val="16"/>
              </w:rPr>
            </w:pPr>
            <w:r w:rsidRPr="00AE58C7">
              <w:rPr>
                <w:sz w:val="16"/>
                <w:szCs w:val="16"/>
              </w:rPr>
              <w:t>/</w:t>
            </w:r>
          </w:p>
        </w:tc>
        <w:tc>
          <w:tcPr>
            <w:tcW w:w="1571" w:type="dxa"/>
            <w:tcBorders>
              <w:top w:val="single" w:sz="4" w:space="0" w:color="auto"/>
              <w:left w:val="single" w:sz="4" w:space="0" w:color="auto"/>
              <w:bottom w:val="nil"/>
            </w:tcBorders>
          </w:tcPr>
          <w:p w14:paraId="6FCD1451" w14:textId="77777777" w:rsidR="00A94A10" w:rsidRDefault="00A94A10" w:rsidP="00BE68EC">
            <w:pPr>
              <w:jc w:val="center"/>
              <w:rPr>
                <w:sz w:val="16"/>
                <w:szCs w:val="16"/>
              </w:rPr>
            </w:pPr>
            <w:r>
              <w:rPr>
                <w:sz w:val="16"/>
                <w:szCs w:val="16"/>
              </w:rPr>
              <w:t>-0.130***</w:t>
            </w:r>
          </w:p>
          <w:p w14:paraId="29914EAE" w14:textId="77777777" w:rsidR="00A94A10" w:rsidRPr="00AE58C7" w:rsidRDefault="00A94A10" w:rsidP="00BE68EC">
            <w:pPr>
              <w:jc w:val="center"/>
              <w:rPr>
                <w:sz w:val="16"/>
                <w:szCs w:val="16"/>
              </w:rPr>
            </w:pPr>
            <w:r>
              <w:rPr>
                <w:sz w:val="16"/>
                <w:szCs w:val="16"/>
              </w:rPr>
              <w:t>(0.003)</w:t>
            </w:r>
          </w:p>
        </w:tc>
        <w:tc>
          <w:tcPr>
            <w:tcW w:w="1572" w:type="dxa"/>
            <w:tcBorders>
              <w:top w:val="single" w:sz="4" w:space="0" w:color="auto"/>
              <w:bottom w:val="nil"/>
            </w:tcBorders>
          </w:tcPr>
          <w:p w14:paraId="46842860" w14:textId="77777777" w:rsidR="00A94A10" w:rsidRPr="00AE58C7" w:rsidRDefault="00A94A10" w:rsidP="00BE68EC">
            <w:pPr>
              <w:jc w:val="center"/>
              <w:rPr>
                <w:sz w:val="16"/>
                <w:szCs w:val="16"/>
              </w:rPr>
            </w:pPr>
            <w:r>
              <w:rPr>
                <w:sz w:val="16"/>
                <w:szCs w:val="16"/>
              </w:rPr>
              <w:t>/</w:t>
            </w:r>
          </w:p>
        </w:tc>
      </w:tr>
      <w:tr w:rsidR="00A94A10" w:rsidRPr="00AE58C7" w14:paraId="456FDAAB" w14:textId="77777777" w:rsidTr="00BE68EC">
        <w:tc>
          <w:tcPr>
            <w:tcW w:w="2740" w:type="dxa"/>
            <w:tcBorders>
              <w:top w:val="nil"/>
            </w:tcBorders>
            <w:vAlign w:val="center"/>
          </w:tcPr>
          <w:p w14:paraId="46F58A01" w14:textId="77777777" w:rsidR="00A94A10" w:rsidRPr="00AE58C7" w:rsidRDefault="00A94A10" w:rsidP="00BE68EC">
            <w:pPr>
              <w:rPr>
                <w:sz w:val="16"/>
                <w:szCs w:val="16"/>
              </w:rPr>
            </w:pPr>
            <w:r w:rsidRPr="00AE58C7">
              <w:rPr>
                <w:sz w:val="16"/>
                <w:szCs w:val="16"/>
              </w:rPr>
              <w:t>Sometimes/often/always lonely</w:t>
            </w:r>
          </w:p>
        </w:tc>
        <w:tc>
          <w:tcPr>
            <w:tcW w:w="1571" w:type="dxa"/>
            <w:tcBorders>
              <w:top w:val="nil"/>
            </w:tcBorders>
            <w:vAlign w:val="center"/>
          </w:tcPr>
          <w:p w14:paraId="54BC2AAB" w14:textId="77777777" w:rsidR="00A94A10" w:rsidRPr="00AE58C7" w:rsidRDefault="00A94A10" w:rsidP="00BE68EC">
            <w:pPr>
              <w:jc w:val="center"/>
              <w:rPr>
                <w:sz w:val="16"/>
                <w:szCs w:val="16"/>
              </w:rPr>
            </w:pPr>
            <w:r w:rsidRPr="00AE58C7">
              <w:rPr>
                <w:sz w:val="16"/>
                <w:szCs w:val="16"/>
              </w:rPr>
              <w:t>/</w:t>
            </w:r>
          </w:p>
        </w:tc>
        <w:tc>
          <w:tcPr>
            <w:tcW w:w="1572" w:type="dxa"/>
            <w:gridSpan w:val="2"/>
            <w:tcBorders>
              <w:top w:val="nil"/>
              <w:right w:val="single" w:sz="4" w:space="0" w:color="auto"/>
            </w:tcBorders>
            <w:vAlign w:val="center"/>
          </w:tcPr>
          <w:p w14:paraId="51BDC7F3" w14:textId="76CC05C5" w:rsidR="00A94A10" w:rsidRPr="00AE58C7" w:rsidRDefault="00A94A10" w:rsidP="00BE68EC">
            <w:pPr>
              <w:jc w:val="center"/>
              <w:rPr>
                <w:sz w:val="16"/>
                <w:szCs w:val="16"/>
              </w:rPr>
            </w:pPr>
            <w:r w:rsidRPr="00AE58C7">
              <w:rPr>
                <w:sz w:val="16"/>
                <w:szCs w:val="16"/>
              </w:rPr>
              <w:t>0.21</w:t>
            </w:r>
            <w:r w:rsidR="00142538">
              <w:rPr>
                <w:sz w:val="16"/>
                <w:szCs w:val="16"/>
              </w:rPr>
              <w:t>3</w:t>
            </w:r>
            <w:r w:rsidRPr="00AE58C7">
              <w:rPr>
                <w:sz w:val="16"/>
                <w:szCs w:val="16"/>
              </w:rPr>
              <w:t>*</w:t>
            </w:r>
            <w:r w:rsidR="00142538">
              <w:rPr>
                <w:sz w:val="16"/>
                <w:szCs w:val="16"/>
              </w:rPr>
              <w:t>*</w:t>
            </w:r>
            <w:r w:rsidRPr="00AE58C7">
              <w:rPr>
                <w:sz w:val="16"/>
                <w:szCs w:val="16"/>
              </w:rPr>
              <w:t>*</w:t>
            </w:r>
          </w:p>
          <w:p w14:paraId="78AC8958" w14:textId="6B56AA31" w:rsidR="00A94A10" w:rsidRPr="00AE58C7" w:rsidRDefault="00A94A10" w:rsidP="00BE68EC">
            <w:pPr>
              <w:jc w:val="center"/>
              <w:rPr>
                <w:sz w:val="16"/>
                <w:szCs w:val="16"/>
              </w:rPr>
            </w:pPr>
            <w:r w:rsidRPr="00AE58C7">
              <w:rPr>
                <w:sz w:val="16"/>
                <w:szCs w:val="16"/>
              </w:rPr>
              <w:t>(0.01</w:t>
            </w:r>
            <w:r w:rsidR="00142538">
              <w:rPr>
                <w:sz w:val="16"/>
                <w:szCs w:val="16"/>
              </w:rPr>
              <w:t>9</w:t>
            </w:r>
            <w:r w:rsidRPr="00AE58C7">
              <w:rPr>
                <w:sz w:val="16"/>
                <w:szCs w:val="16"/>
              </w:rPr>
              <w:t>)</w:t>
            </w:r>
          </w:p>
        </w:tc>
        <w:tc>
          <w:tcPr>
            <w:tcW w:w="1571" w:type="dxa"/>
            <w:tcBorders>
              <w:top w:val="nil"/>
              <w:left w:val="single" w:sz="4" w:space="0" w:color="auto"/>
            </w:tcBorders>
          </w:tcPr>
          <w:p w14:paraId="0E1DED88" w14:textId="77777777" w:rsidR="00A94A10" w:rsidRPr="00AE58C7" w:rsidRDefault="00A94A10" w:rsidP="00BE68EC">
            <w:pPr>
              <w:jc w:val="center"/>
              <w:rPr>
                <w:sz w:val="16"/>
                <w:szCs w:val="16"/>
              </w:rPr>
            </w:pPr>
            <w:r>
              <w:rPr>
                <w:sz w:val="16"/>
                <w:szCs w:val="16"/>
              </w:rPr>
              <w:t>/</w:t>
            </w:r>
          </w:p>
        </w:tc>
        <w:tc>
          <w:tcPr>
            <w:tcW w:w="1572" w:type="dxa"/>
            <w:tcBorders>
              <w:top w:val="nil"/>
            </w:tcBorders>
          </w:tcPr>
          <w:p w14:paraId="2D2E37ED" w14:textId="605D8E03" w:rsidR="00A94A10" w:rsidRDefault="00A94A10" w:rsidP="00BE68EC">
            <w:pPr>
              <w:jc w:val="center"/>
              <w:rPr>
                <w:sz w:val="16"/>
                <w:szCs w:val="16"/>
              </w:rPr>
            </w:pPr>
            <w:r>
              <w:rPr>
                <w:sz w:val="16"/>
                <w:szCs w:val="16"/>
              </w:rPr>
              <w:t>-0.109</w:t>
            </w:r>
            <w:r w:rsidR="002D5ED9">
              <w:rPr>
                <w:sz w:val="16"/>
                <w:szCs w:val="16"/>
              </w:rPr>
              <w:t>***</w:t>
            </w:r>
          </w:p>
          <w:p w14:paraId="61243771" w14:textId="77777777" w:rsidR="00A94A10" w:rsidRPr="00AE58C7" w:rsidRDefault="00A94A10" w:rsidP="00BE68EC">
            <w:pPr>
              <w:jc w:val="center"/>
              <w:rPr>
                <w:sz w:val="16"/>
                <w:szCs w:val="16"/>
              </w:rPr>
            </w:pPr>
            <w:r>
              <w:rPr>
                <w:sz w:val="16"/>
                <w:szCs w:val="16"/>
              </w:rPr>
              <w:t>(0.015)</w:t>
            </w:r>
          </w:p>
        </w:tc>
      </w:tr>
      <w:tr w:rsidR="00A94A10" w:rsidRPr="00AE58C7" w14:paraId="0CEA2E4D" w14:textId="77777777" w:rsidTr="00BE68EC">
        <w:tc>
          <w:tcPr>
            <w:tcW w:w="2740" w:type="dxa"/>
            <w:tcBorders>
              <w:top w:val="single" w:sz="4" w:space="0" w:color="auto"/>
            </w:tcBorders>
            <w:vAlign w:val="center"/>
          </w:tcPr>
          <w:p w14:paraId="6F24AC2F" w14:textId="77777777" w:rsidR="00A94A10" w:rsidRPr="00AE58C7" w:rsidRDefault="00A94A10" w:rsidP="00BE68EC">
            <w:pPr>
              <w:rPr>
                <w:b/>
                <w:bCs/>
                <w:sz w:val="16"/>
                <w:szCs w:val="16"/>
              </w:rPr>
            </w:pPr>
            <w:r w:rsidRPr="00AE58C7">
              <w:rPr>
                <w:sz w:val="16"/>
                <w:szCs w:val="16"/>
              </w:rPr>
              <w:t>Female</w:t>
            </w:r>
          </w:p>
        </w:tc>
        <w:tc>
          <w:tcPr>
            <w:tcW w:w="1571" w:type="dxa"/>
            <w:tcBorders>
              <w:top w:val="single" w:sz="4" w:space="0" w:color="auto"/>
            </w:tcBorders>
            <w:vAlign w:val="center"/>
          </w:tcPr>
          <w:p w14:paraId="6CEE6DA6" w14:textId="77777777" w:rsidR="00A94A10" w:rsidRPr="00AE58C7" w:rsidRDefault="00A94A10" w:rsidP="00BE68EC">
            <w:pPr>
              <w:jc w:val="center"/>
              <w:rPr>
                <w:sz w:val="16"/>
                <w:szCs w:val="16"/>
              </w:rPr>
            </w:pPr>
            <w:r w:rsidRPr="00AE58C7">
              <w:rPr>
                <w:sz w:val="16"/>
                <w:szCs w:val="16"/>
              </w:rPr>
              <w:t>0.033***</w:t>
            </w:r>
          </w:p>
          <w:p w14:paraId="11F16CC6" w14:textId="77777777" w:rsidR="00A94A10" w:rsidRPr="00AE58C7" w:rsidRDefault="00A94A10" w:rsidP="00BE68EC">
            <w:pPr>
              <w:jc w:val="center"/>
              <w:rPr>
                <w:sz w:val="16"/>
                <w:szCs w:val="16"/>
              </w:rPr>
            </w:pPr>
            <w:r w:rsidRPr="00AE58C7">
              <w:rPr>
                <w:sz w:val="16"/>
                <w:szCs w:val="16"/>
              </w:rPr>
              <w:t>(0.009)</w:t>
            </w:r>
          </w:p>
        </w:tc>
        <w:tc>
          <w:tcPr>
            <w:tcW w:w="1572" w:type="dxa"/>
            <w:gridSpan w:val="2"/>
            <w:tcBorders>
              <w:top w:val="single" w:sz="4" w:space="0" w:color="auto"/>
              <w:right w:val="single" w:sz="4" w:space="0" w:color="auto"/>
            </w:tcBorders>
            <w:vAlign w:val="center"/>
          </w:tcPr>
          <w:p w14:paraId="75E697F5" w14:textId="77777777" w:rsidR="00A94A10" w:rsidRPr="00AE58C7" w:rsidRDefault="00A94A10" w:rsidP="00BE68EC">
            <w:pPr>
              <w:jc w:val="center"/>
              <w:rPr>
                <w:sz w:val="16"/>
                <w:szCs w:val="16"/>
              </w:rPr>
            </w:pPr>
            <w:r w:rsidRPr="00AE58C7">
              <w:rPr>
                <w:sz w:val="16"/>
                <w:szCs w:val="16"/>
              </w:rPr>
              <w:t>0.033***</w:t>
            </w:r>
          </w:p>
          <w:p w14:paraId="2A607C67" w14:textId="77777777" w:rsidR="00A94A10" w:rsidRPr="00AE58C7" w:rsidRDefault="00A94A10" w:rsidP="00BE68EC">
            <w:pPr>
              <w:jc w:val="center"/>
              <w:rPr>
                <w:sz w:val="16"/>
                <w:szCs w:val="16"/>
              </w:rPr>
            </w:pPr>
            <w:r w:rsidRPr="00AE58C7">
              <w:rPr>
                <w:sz w:val="16"/>
                <w:szCs w:val="16"/>
              </w:rPr>
              <w:t>(0.009)</w:t>
            </w:r>
          </w:p>
        </w:tc>
        <w:tc>
          <w:tcPr>
            <w:tcW w:w="1571" w:type="dxa"/>
            <w:tcBorders>
              <w:top w:val="single" w:sz="4" w:space="0" w:color="auto"/>
              <w:left w:val="single" w:sz="4" w:space="0" w:color="auto"/>
            </w:tcBorders>
          </w:tcPr>
          <w:p w14:paraId="5291528F" w14:textId="77777777" w:rsidR="00A94A10" w:rsidRDefault="00A94A10" w:rsidP="00BE68EC">
            <w:pPr>
              <w:jc w:val="center"/>
              <w:rPr>
                <w:sz w:val="16"/>
                <w:szCs w:val="16"/>
              </w:rPr>
            </w:pPr>
            <w:r>
              <w:rPr>
                <w:sz w:val="16"/>
                <w:szCs w:val="16"/>
              </w:rPr>
              <w:t>0.007</w:t>
            </w:r>
          </w:p>
          <w:p w14:paraId="2C191B4E" w14:textId="77777777" w:rsidR="00A94A10" w:rsidRPr="00AE58C7" w:rsidRDefault="00A94A10" w:rsidP="00BE68EC">
            <w:pPr>
              <w:jc w:val="center"/>
              <w:rPr>
                <w:sz w:val="16"/>
                <w:szCs w:val="16"/>
              </w:rPr>
            </w:pPr>
            <w:r>
              <w:rPr>
                <w:sz w:val="16"/>
                <w:szCs w:val="16"/>
              </w:rPr>
              <w:t>(0.009)</w:t>
            </w:r>
          </w:p>
        </w:tc>
        <w:tc>
          <w:tcPr>
            <w:tcW w:w="1572" w:type="dxa"/>
            <w:tcBorders>
              <w:top w:val="single" w:sz="4" w:space="0" w:color="auto"/>
            </w:tcBorders>
          </w:tcPr>
          <w:p w14:paraId="5A3953A1" w14:textId="77777777" w:rsidR="00A94A10" w:rsidRDefault="00A94A10" w:rsidP="00BE68EC">
            <w:pPr>
              <w:jc w:val="center"/>
              <w:rPr>
                <w:sz w:val="16"/>
                <w:szCs w:val="16"/>
              </w:rPr>
            </w:pPr>
            <w:r>
              <w:rPr>
                <w:sz w:val="16"/>
                <w:szCs w:val="16"/>
              </w:rPr>
              <w:t>0.007</w:t>
            </w:r>
          </w:p>
          <w:p w14:paraId="644A2E96" w14:textId="77777777" w:rsidR="00A94A10" w:rsidRPr="00AE58C7" w:rsidRDefault="00A94A10" w:rsidP="00BE68EC">
            <w:pPr>
              <w:jc w:val="center"/>
              <w:rPr>
                <w:sz w:val="16"/>
                <w:szCs w:val="16"/>
              </w:rPr>
            </w:pPr>
            <w:r>
              <w:rPr>
                <w:sz w:val="16"/>
                <w:szCs w:val="16"/>
              </w:rPr>
              <w:t>(0.009)</w:t>
            </w:r>
          </w:p>
        </w:tc>
      </w:tr>
      <w:tr w:rsidR="00A94A10" w:rsidRPr="00AE58C7" w14:paraId="0C2164CB" w14:textId="77777777" w:rsidTr="00BE68EC">
        <w:tc>
          <w:tcPr>
            <w:tcW w:w="4311" w:type="dxa"/>
            <w:gridSpan w:val="2"/>
            <w:vAlign w:val="center"/>
          </w:tcPr>
          <w:p w14:paraId="0EFEF27A" w14:textId="77777777" w:rsidR="00A94A10" w:rsidRPr="00AE58C7" w:rsidRDefault="00A94A10" w:rsidP="00BE68EC">
            <w:pPr>
              <w:rPr>
                <w:sz w:val="16"/>
                <w:szCs w:val="16"/>
              </w:rPr>
            </w:pPr>
            <w:r w:rsidRPr="00AE58C7">
              <w:rPr>
                <w:i/>
                <w:iCs/>
                <w:sz w:val="16"/>
                <w:szCs w:val="16"/>
              </w:rPr>
              <w:t>Age category (Ref: 15-29 years)</w:t>
            </w:r>
          </w:p>
        </w:tc>
        <w:tc>
          <w:tcPr>
            <w:tcW w:w="1572" w:type="dxa"/>
            <w:gridSpan w:val="2"/>
            <w:tcBorders>
              <w:right w:val="single" w:sz="4" w:space="0" w:color="auto"/>
            </w:tcBorders>
            <w:vAlign w:val="center"/>
          </w:tcPr>
          <w:p w14:paraId="65A8F621" w14:textId="77777777" w:rsidR="00A94A10" w:rsidRPr="00AE58C7" w:rsidRDefault="00A94A10" w:rsidP="00BE68EC">
            <w:pPr>
              <w:jc w:val="center"/>
              <w:rPr>
                <w:sz w:val="16"/>
                <w:szCs w:val="16"/>
              </w:rPr>
            </w:pPr>
          </w:p>
        </w:tc>
        <w:tc>
          <w:tcPr>
            <w:tcW w:w="1571" w:type="dxa"/>
            <w:tcBorders>
              <w:left w:val="single" w:sz="4" w:space="0" w:color="auto"/>
            </w:tcBorders>
          </w:tcPr>
          <w:p w14:paraId="1DF73897" w14:textId="77777777" w:rsidR="00A94A10" w:rsidRDefault="00A94A10" w:rsidP="00BE68EC">
            <w:pPr>
              <w:jc w:val="center"/>
              <w:rPr>
                <w:sz w:val="16"/>
                <w:szCs w:val="16"/>
              </w:rPr>
            </w:pPr>
          </w:p>
        </w:tc>
        <w:tc>
          <w:tcPr>
            <w:tcW w:w="1572" w:type="dxa"/>
          </w:tcPr>
          <w:p w14:paraId="3042C236" w14:textId="77777777" w:rsidR="00A94A10" w:rsidRDefault="00A94A10" w:rsidP="00BE68EC">
            <w:pPr>
              <w:jc w:val="center"/>
              <w:rPr>
                <w:sz w:val="16"/>
                <w:szCs w:val="16"/>
              </w:rPr>
            </w:pPr>
          </w:p>
        </w:tc>
      </w:tr>
      <w:tr w:rsidR="00A94A10" w:rsidRPr="00AE58C7" w14:paraId="5EF67B47" w14:textId="77777777" w:rsidTr="00BE68EC">
        <w:tc>
          <w:tcPr>
            <w:tcW w:w="2740" w:type="dxa"/>
            <w:vAlign w:val="center"/>
          </w:tcPr>
          <w:p w14:paraId="782464AF" w14:textId="77777777" w:rsidR="00A94A10" w:rsidRPr="00AE58C7" w:rsidRDefault="00A94A10" w:rsidP="00BE68EC">
            <w:pPr>
              <w:rPr>
                <w:b/>
                <w:bCs/>
                <w:sz w:val="16"/>
                <w:szCs w:val="16"/>
              </w:rPr>
            </w:pPr>
            <w:r w:rsidRPr="00AE58C7">
              <w:rPr>
                <w:sz w:val="16"/>
                <w:szCs w:val="16"/>
              </w:rPr>
              <w:t xml:space="preserve"> 30-49</w:t>
            </w:r>
          </w:p>
        </w:tc>
        <w:tc>
          <w:tcPr>
            <w:tcW w:w="1571" w:type="dxa"/>
            <w:vAlign w:val="center"/>
          </w:tcPr>
          <w:p w14:paraId="27377C78" w14:textId="19AEDD11" w:rsidR="00A94A10" w:rsidRPr="00AE58C7" w:rsidRDefault="00A94A10" w:rsidP="00BE68EC">
            <w:pPr>
              <w:jc w:val="center"/>
              <w:rPr>
                <w:sz w:val="16"/>
                <w:szCs w:val="16"/>
              </w:rPr>
            </w:pPr>
            <w:r w:rsidRPr="00AE58C7">
              <w:rPr>
                <w:sz w:val="16"/>
                <w:szCs w:val="16"/>
              </w:rPr>
              <w:t>-0.01</w:t>
            </w:r>
            <w:r w:rsidR="002901A6">
              <w:rPr>
                <w:sz w:val="16"/>
                <w:szCs w:val="16"/>
              </w:rPr>
              <w:t>8</w:t>
            </w:r>
          </w:p>
          <w:p w14:paraId="16AEDAD8" w14:textId="77777777" w:rsidR="00A94A10" w:rsidRPr="00AE58C7" w:rsidRDefault="00A94A10" w:rsidP="00BE68EC">
            <w:pPr>
              <w:jc w:val="center"/>
              <w:rPr>
                <w:sz w:val="16"/>
                <w:szCs w:val="16"/>
              </w:rPr>
            </w:pPr>
            <w:r w:rsidRPr="00AE58C7">
              <w:rPr>
                <w:sz w:val="16"/>
                <w:szCs w:val="16"/>
              </w:rPr>
              <w:t>(0.018)</w:t>
            </w:r>
          </w:p>
        </w:tc>
        <w:tc>
          <w:tcPr>
            <w:tcW w:w="1572" w:type="dxa"/>
            <w:gridSpan w:val="2"/>
            <w:tcBorders>
              <w:right w:val="single" w:sz="4" w:space="0" w:color="auto"/>
            </w:tcBorders>
            <w:vAlign w:val="center"/>
          </w:tcPr>
          <w:p w14:paraId="4D0E3C60" w14:textId="77777777" w:rsidR="00A94A10" w:rsidRPr="00AE58C7" w:rsidRDefault="00A94A10" w:rsidP="00BE68EC">
            <w:pPr>
              <w:jc w:val="center"/>
              <w:rPr>
                <w:sz w:val="16"/>
                <w:szCs w:val="16"/>
              </w:rPr>
            </w:pPr>
            <w:r w:rsidRPr="00AE58C7">
              <w:rPr>
                <w:sz w:val="16"/>
                <w:szCs w:val="16"/>
              </w:rPr>
              <w:t>-0.008</w:t>
            </w:r>
          </w:p>
          <w:p w14:paraId="362F19A6" w14:textId="17CB476F" w:rsidR="00A94A10" w:rsidRPr="00AE58C7" w:rsidRDefault="00A94A10" w:rsidP="00BE68EC">
            <w:pPr>
              <w:jc w:val="center"/>
              <w:rPr>
                <w:sz w:val="16"/>
                <w:szCs w:val="16"/>
              </w:rPr>
            </w:pPr>
            <w:r w:rsidRPr="00AE58C7">
              <w:rPr>
                <w:sz w:val="16"/>
                <w:szCs w:val="16"/>
              </w:rPr>
              <w:t>(0.0</w:t>
            </w:r>
            <w:r w:rsidR="005612F3">
              <w:rPr>
                <w:sz w:val="16"/>
                <w:szCs w:val="16"/>
              </w:rPr>
              <w:t>17</w:t>
            </w:r>
            <w:r w:rsidRPr="00AE58C7">
              <w:rPr>
                <w:sz w:val="16"/>
                <w:szCs w:val="16"/>
              </w:rPr>
              <w:t>)</w:t>
            </w:r>
          </w:p>
        </w:tc>
        <w:tc>
          <w:tcPr>
            <w:tcW w:w="1571" w:type="dxa"/>
            <w:tcBorders>
              <w:left w:val="single" w:sz="4" w:space="0" w:color="auto"/>
            </w:tcBorders>
          </w:tcPr>
          <w:p w14:paraId="47F7C8ED" w14:textId="77777777" w:rsidR="00A94A10" w:rsidRDefault="00A94A10" w:rsidP="00BE68EC">
            <w:pPr>
              <w:jc w:val="center"/>
              <w:rPr>
                <w:sz w:val="16"/>
                <w:szCs w:val="16"/>
              </w:rPr>
            </w:pPr>
            <w:r>
              <w:rPr>
                <w:sz w:val="16"/>
                <w:szCs w:val="16"/>
              </w:rPr>
              <w:t>-0.026</w:t>
            </w:r>
          </w:p>
          <w:p w14:paraId="07E3FADA" w14:textId="77777777" w:rsidR="00A94A10" w:rsidRPr="00AE58C7" w:rsidRDefault="00A94A10" w:rsidP="00BE68EC">
            <w:pPr>
              <w:jc w:val="center"/>
              <w:rPr>
                <w:sz w:val="16"/>
                <w:szCs w:val="16"/>
              </w:rPr>
            </w:pPr>
            <w:r>
              <w:rPr>
                <w:sz w:val="16"/>
                <w:szCs w:val="16"/>
              </w:rPr>
              <w:t>(0.016)</w:t>
            </w:r>
          </w:p>
        </w:tc>
        <w:tc>
          <w:tcPr>
            <w:tcW w:w="1572" w:type="dxa"/>
          </w:tcPr>
          <w:p w14:paraId="501B2D00" w14:textId="77777777" w:rsidR="00A94A10" w:rsidRDefault="00A94A10" w:rsidP="00BE68EC">
            <w:pPr>
              <w:jc w:val="center"/>
              <w:rPr>
                <w:sz w:val="16"/>
                <w:szCs w:val="16"/>
              </w:rPr>
            </w:pPr>
            <w:r>
              <w:rPr>
                <w:sz w:val="16"/>
                <w:szCs w:val="16"/>
              </w:rPr>
              <w:t>-0.029</w:t>
            </w:r>
          </w:p>
          <w:p w14:paraId="3D9A2E7E" w14:textId="77777777" w:rsidR="00A94A10" w:rsidRPr="00AE58C7" w:rsidRDefault="00A94A10" w:rsidP="00BE68EC">
            <w:pPr>
              <w:jc w:val="center"/>
              <w:rPr>
                <w:sz w:val="16"/>
                <w:szCs w:val="16"/>
              </w:rPr>
            </w:pPr>
            <w:r>
              <w:rPr>
                <w:sz w:val="16"/>
                <w:szCs w:val="16"/>
              </w:rPr>
              <w:t>(0.016)</w:t>
            </w:r>
          </w:p>
        </w:tc>
      </w:tr>
      <w:tr w:rsidR="00A94A10" w:rsidRPr="00AE58C7" w14:paraId="2EA7C506" w14:textId="77777777" w:rsidTr="00BE68EC">
        <w:tc>
          <w:tcPr>
            <w:tcW w:w="2740" w:type="dxa"/>
            <w:vAlign w:val="center"/>
          </w:tcPr>
          <w:p w14:paraId="30E43506" w14:textId="77777777" w:rsidR="00A94A10" w:rsidRPr="00AE58C7" w:rsidRDefault="00A94A10" w:rsidP="00BE68EC">
            <w:pPr>
              <w:rPr>
                <w:b/>
                <w:bCs/>
                <w:sz w:val="16"/>
                <w:szCs w:val="16"/>
              </w:rPr>
            </w:pPr>
            <w:r w:rsidRPr="00AE58C7">
              <w:rPr>
                <w:sz w:val="16"/>
                <w:szCs w:val="16"/>
              </w:rPr>
              <w:t xml:space="preserve"> 50-64</w:t>
            </w:r>
          </w:p>
        </w:tc>
        <w:tc>
          <w:tcPr>
            <w:tcW w:w="1571" w:type="dxa"/>
            <w:vAlign w:val="center"/>
          </w:tcPr>
          <w:p w14:paraId="3DD3060A" w14:textId="77777777" w:rsidR="00A94A10" w:rsidRPr="00AE58C7" w:rsidRDefault="00A94A10" w:rsidP="00BE68EC">
            <w:pPr>
              <w:jc w:val="center"/>
              <w:rPr>
                <w:sz w:val="16"/>
                <w:szCs w:val="16"/>
              </w:rPr>
            </w:pPr>
            <w:r w:rsidRPr="00AE58C7">
              <w:rPr>
                <w:sz w:val="16"/>
                <w:szCs w:val="16"/>
              </w:rPr>
              <w:t>-0.071***</w:t>
            </w:r>
          </w:p>
          <w:p w14:paraId="639B85D2" w14:textId="77777777" w:rsidR="00A94A10" w:rsidRPr="00AE58C7" w:rsidRDefault="00A94A10" w:rsidP="00BE68EC">
            <w:pPr>
              <w:jc w:val="center"/>
              <w:rPr>
                <w:sz w:val="16"/>
                <w:szCs w:val="16"/>
              </w:rPr>
            </w:pPr>
            <w:r w:rsidRPr="00AE58C7">
              <w:rPr>
                <w:sz w:val="16"/>
                <w:szCs w:val="16"/>
              </w:rPr>
              <w:t>(0.018)</w:t>
            </w:r>
          </w:p>
        </w:tc>
        <w:tc>
          <w:tcPr>
            <w:tcW w:w="1572" w:type="dxa"/>
            <w:gridSpan w:val="2"/>
            <w:tcBorders>
              <w:right w:val="single" w:sz="4" w:space="0" w:color="auto"/>
            </w:tcBorders>
            <w:vAlign w:val="center"/>
          </w:tcPr>
          <w:p w14:paraId="6069C179" w14:textId="77777777" w:rsidR="00A94A10" w:rsidRPr="00AE58C7" w:rsidRDefault="00A94A10" w:rsidP="00BE68EC">
            <w:pPr>
              <w:jc w:val="center"/>
              <w:rPr>
                <w:sz w:val="16"/>
                <w:szCs w:val="16"/>
              </w:rPr>
            </w:pPr>
            <w:r w:rsidRPr="00AE58C7">
              <w:rPr>
                <w:sz w:val="16"/>
                <w:szCs w:val="16"/>
              </w:rPr>
              <w:t>-0.057***</w:t>
            </w:r>
          </w:p>
          <w:p w14:paraId="54302648" w14:textId="77777777" w:rsidR="00A94A10" w:rsidRPr="00AE58C7" w:rsidRDefault="00A94A10" w:rsidP="00BE68EC">
            <w:pPr>
              <w:jc w:val="center"/>
              <w:rPr>
                <w:sz w:val="16"/>
                <w:szCs w:val="16"/>
              </w:rPr>
            </w:pPr>
            <w:r w:rsidRPr="00AE58C7">
              <w:rPr>
                <w:sz w:val="16"/>
                <w:szCs w:val="16"/>
              </w:rPr>
              <w:t>(0.017)</w:t>
            </w:r>
          </w:p>
        </w:tc>
        <w:tc>
          <w:tcPr>
            <w:tcW w:w="1571" w:type="dxa"/>
            <w:tcBorders>
              <w:left w:val="single" w:sz="4" w:space="0" w:color="auto"/>
            </w:tcBorders>
          </w:tcPr>
          <w:p w14:paraId="56398480" w14:textId="77777777" w:rsidR="00A94A10" w:rsidRDefault="00A94A10" w:rsidP="00BE68EC">
            <w:pPr>
              <w:jc w:val="center"/>
              <w:rPr>
                <w:sz w:val="16"/>
                <w:szCs w:val="16"/>
              </w:rPr>
            </w:pPr>
            <w:r>
              <w:rPr>
                <w:sz w:val="16"/>
                <w:szCs w:val="16"/>
              </w:rPr>
              <w:t>-0.014</w:t>
            </w:r>
          </w:p>
          <w:p w14:paraId="779D155D" w14:textId="77777777" w:rsidR="00A94A10" w:rsidRPr="00AE58C7" w:rsidRDefault="00A94A10" w:rsidP="00BE68EC">
            <w:pPr>
              <w:jc w:val="center"/>
              <w:rPr>
                <w:sz w:val="16"/>
                <w:szCs w:val="16"/>
              </w:rPr>
            </w:pPr>
            <w:r>
              <w:rPr>
                <w:sz w:val="16"/>
                <w:szCs w:val="16"/>
              </w:rPr>
              <w:t>(0.017)</w:t>
            </w:r>
          </w:p>
        </w:tc>
        <w:tc>
          <w:tcPr>
            <w:tcW w:w="1572" w:type="dxa"/>
          </w:tcPr>
          <w:p w14:paraId="60497C15" w14:textId="77777777" w:rsidR="00A94A10" w:rsidRDefault="00A94A10" w:rsidP="00BE68EC">
            <w:pPr>
              <w:jc w:val="center"/>
              <w:rPr>
                <w:sz w:val="16"/>
                <w:szCs w:val="16"/>
              </w:rPr>
            </w:pPr>
            <w:r>
              <w:rPr>
                <w:sz w:val="16"/>
                <w:szCs w:val="16"/>
              </w:rPr>
              <w:t>-0.019</w:t>
            </w:r>
          </w:p>
          <w:p w14:paraId="7E2A0FA9" w14:textId="77777777" w:rsidR="00A94A10" w:rsidRPr="00AE58C7" w:rsidRDefault="00A94A10" w:rsidP="00BE68EC">
            <w:pPr>
              <w:jc w:val="center"/>
              <w:rPr>
                <w:sz w:val="16"/>
                <w:szCs w:val="16"/>
              </w:rPr>
            </w:pPr>
            <w:r>
              <w:rPr>
                <w:sz w:val="16"/>
                <w:szCs w:val="16"/>
              </w:rPr>
              <w:t>(0.017)</w:t>
            </w:r>
          </w:p>
        </w:tc>
      </w:tr>
      <w:tr w:rsidR="00A94A10" w:rsidRPr="00AE58C7" w14:paraId="2C84606A" w14:textId="77777777" w:rsidTr="00BE68EC">
        <w:tc>
          <w:tcPr>
            <w:tcW w:w="2740" w:type="dxa"/>
            <w:vAlign w:val="center"/>
          </w:tcPr>
          <w:p w14:paraId="753E501E" w14:textId="77777777" w:rsidR="00A94A10" w:rsidRPr="00AE58C7" w:rsidRDefault="00A94A10" w:rsidP="00BE68EC">
            <w:pPr>
              <w:rPr>
                <w:b/>
                <w:bCs/>
                <w:sz w:val="16"/>
                <w:szCs w:val="16"/>
              </w:rPr>
            </w:pPr>
            <w:r w:rsidRPr="00AE58C7">
              <w:rPr>
                <w:sz w:val="16"/>
                <w:szCs w:val="16"/>
              </w:rPr>
              <w:t xml:space="preserve"> 65+</w:t>
            </w:r>
          </w:p>
        </w:tc>
        <w:tc>
          <w:tcPr>
            <w:tcW w:w="1571" w:type="dxa"/>
            <w:vAlign w:val="center"/>
          </w:tcPr>
          <w:p w14:paraId="7294800A" w14:textId="5C07E31C" w:rsidR="00A94A10" w:rsidRPr="00AE58C7" w:rsidRDefault="00A94A10" w:rsidP="00BE68EC">
            <w:pPr>
              <w:jc w:val="center"/>
              <w:rPr>
                <w:sz w:val="16"/>
                <w:szCs w:val="16"/>
              </w:rPr>
            </w:pPr>
            <w:r w:rsidRPr="00AE58C7">
              <w:rPr>
                <w:sz w:val="16"/>
                <w:szCs w:val="16"/>
              </w:rPr>
              <w:t>-0.1</w:t>
            </w:r>
            <w:r w:rsidR="002901A6">
              <w:rPr>
                <w:sz w:val="16"/>
                <w:szCs w:val="16"/>
              </w:rPr>
              <w:t>0</w:t>
            </w:r>
            <w:r w:rsidRPr="00AE58C7">
              <w:rPr>
                <w:sz w:val="16"/>
                <w:szCs w:val="16"/>
              </w:rPr>
              <w:t>0***</w:t>
            </w:r>
          </w:p>
          <w:p w14:paraId="4600E443" w14:textId="77777777" w:rsidR="00A94A10" w:rsidRPr="00AE58C7" w:rsidRDefault="00A94A10" w:rsidP="00BE68EC">
            <w:pPr>
              <w:jc w:val="center"/>
              <w:rPr>
                <w:sz w:val="16"/>
                <w:szCs w:val="16"/>
              </w:rPr>
            </w:pPr>
            <w:r w:rsidRPr="00AE58C7">
              <w:rPr>
                <w:sz w:val="16"/>
                <w:szCs w:val="16"/>
              </w:rPr>
              <w:t>(0.022)</w:t>
            </w:r>
          </w:p>
        </w:tc>
        <w:tc>
          <w:tcPr>
            <w:tcW w:w="1572" w:type="dxa"/>
            <w:gridSpan w:val="2"/>
            <w:tcBorders>
              <w:right w:val="single" w:sz="4" w:space="0" w:color="auto"/>
            </w:tcBorders>
            <w:vAlign w:val="center"/>
          </w:tcPr>
          <w:p w14:paraId="2B41B615" w14:textId="77777777" w:rsidR="00A94A10" w:rsidRPr="00AE58C7" w:rsidRDefault="00A94A10" w:rsidP="00BE68EC">
            <w:pPr>
              <w:jc w:val="center"/>
              <w:rPr>
                <w:sz w:val="16"/>
                <w:szCs w:val="16"/>
              </w:rPr>
            </w:pPr>
            <w:r w:rsidRPr="00AE58C7">
              <w:rPr>
                <w:sz w:val="16"/>
                <w:szCs w:val="16"/>
              </w:rPr>
              <w:t>-0.081***</w:t>
            </w:r>
          </w:p>
          <w:p w14:paraId="12F31202" w14:textId="0A99A899" w:rsidR="00A94A10" w:rsidRPr="00AE58C7" w:rsidRDefault="00A94A10" w:rsidP="00BE68EC">
            <w:pPr>
              <w:jc w:val="center"/>
              <w:rPr>
                <w:sz w:val="16"/>
                <w:szCs w:val="16"/>
              </w:rPr>
            </w:pPr>
            <w:r w:rsidRPr="00AE58C7">
              <w:rPr>
                <w:sz w:val="16"/>
                <w:szCs w:val="16"/>
              </w:rPr>
              <w:t>(0.02</w:t>
            </w:r>
            <w:r w:rsidR="005612F3">
              <w:rPr>
                <w:sz w:val="16"/>
                <w:szCs w:val="16"/>
              </w:rPr>
              <w:t>3</w:t>
            </w:r>
            <w:r w:rsidRPr="00AE58C7">
              <w:rPr>
                <w:sz w:val="16"/>
                <w:szCs w:val="16"/>
              </w:rPr>
              <w:t>)</w:t>
            </w:r>
          </w:p>
        </w:tc>
        <w:tc>
          <w:tcPr>
            <w:tcW w:w="1571" w:type="dxa"/>
            <w:tcBorders>
              <w:left w:val="single" w:sz="4" w:space="0" w:color="auto"/>
            </w:tcBorders>
          </w:tcPr>
          <w:p w14:paraId="12068A0E" w14:textId="77777777" w:rsidR="00A94A10" w:rsidRDefault="00A94A10" w:rsidP="00BE68EC">
            <w:pPr>
              <w:jc w:val="center"/>
              <w:rPr>
                <w:sz w:val="16"/>
                <w:szCs w:val="16"/>
              </w:rPr>
            </w:pPr>
            <w:r>
              <w:rPr>
                <w:sz w:val="16"/>
                <w:szCs w:val="16"/>
              </w:rPr>
              <w:t>0.021</w:t>
            </w:r>
          </w:p>
          <w:p w14:paraId="1FEAFED3" w14:textId="77777777" w:rsidR="00A94A10" w:rsidRPr="00AE58C7" w:rsidRDefault="00A94A10" w:rsidP="00BE68EC">
            <w:pPr>
              <w:jc w:val="center"/>
              <w:rPr>
                <w:sz w:val="16"/>
                <w:szCs w:val="16"/>
              </w:rPr>
            </w:pPr>
            <w:r>
              <w:rPr>
                <w:sz w:val="16"/>
                <w:szCs w:val="16"/>
              </w:rPr>
              <w:t>(0.020)</w:t>
            </w:r>
          </w:p>
        </w:tc>
        <w:tc>
          <w:tcPr>
            <w:tcW w:w="1572" w:type="dxa"/>
          </w:tcPr>
          <w:p w14:paraId="153E9FEC" w14:textId="77777777" w:rsidR="00A94A10" w:rsidRDefault="00A94A10" w:rsidP="00BE68EC">
            <w:pPr>
              <w:jc w:val="center"/>
              <w:rPr>
                <w:sz w:val="16"/>
                <w:szCs w:val="16"/>
              </w:rPr>
            </w:pPr>
            <w:r>
              <w:rPr>
                <w:sz w:val="16"/>
                <w:szCs w:val="16"/>
              </w:rPr>
              <w:t>0.013</w:t>
            </w:r>
          </w:p>
          <w:p w14:paraId="1E89EE36" w14:textId="77777777" w:rsidR="00A94A10" w:rsidRPr="00AE58C7" w:rsidRDefault="00A94A10" w:rsidP="00BE68EC">
            <w:pPr>
              <w:jc w:val="center"/>
              <w:rPr>
                <w:sz w:val="16"/>
                <w:szCs w:val="16"/>
              </w:rPr>
            </w:pPr>
            <w:r>
              <w:rPr>
                <w:sz w:val="16"/>
                <w:szCs w:val="16"/>
              </w:rPr>
              <w:t>(0.020)</w:t>
            </w:r>
          </w:p>
        </w:tc>
      </w:tr>
      <w:tr w:rsidR="00A94A10" w:rsidRPr="00AE58C7" w14:paraId="4A739E8A" w14:textId="77777777" w:rsidTr="00BE68EC">
        <w:tc>
          <w:tcPr>
            <w:tcW w:w="2740" w:type="dxa"/>
            <w:vAlign w:val="center"/>
          </w:tcPr>
          <w:p w14:paraId="6D739154" w14:textId="77777777" w:rsidR="00A94A10" w:rsidRPr="00AE58C7" w:rsidRDefault="00A94A10" w:rsidP="00BE68EC">
            <w:pPr>
              <w:rPr>
                <w:b/>
                <w:bCs/>
                <w:sz w:val="16"/>
                <w:szCs w:val="16"/>
              </w:rPr>
            </w:pPr>
            <w:r w:rsidRPr="00AE58C7">
              <w:rPr>
                <w:sz w:val="16"/>
                <w:szCs w:val="16"/>
              </w:rPr>
              <w:t>Good health</w:t>
            </w:r>
          </w:p>
        </w:tc>
        <w:tc>
          <w:tcPr>
            <w:tcW w:w="1571" w:type="dxa"/>
            <w:vAlign w:val="center"/>
          </w:tcPr>
          <w:p w14:paraId="059B4705" w14:textId="77777777" w:rsidR="00A94A10" w:rsidRPr="00AE58C7" w:rsidRDefault="00A94A10" w:rsidP="00BE68EC">
            <w:pPr>
              <w:jc w:val="center"/>
              <w:rPr>
                <w:sz w:val="16"/>
                <w:szCs w:val="16"/>
              </w:rPr>
            </w:pPr>
            <w:r w:rsidRPr="00AE58C7">
              <w:rPr>
                <w:sz w:val="16"/>
                <w:szCs w:val="16"/>
              </w:rPr>
              <w:t>-0.087***</w:t>
            </w:r>
          </w:p>
          <w:p w14:paraId="310035E7" w14:textId="77777777" w:rsidR="00A94A10" w:rsidRPr="00AE58C7" w:rsidRDefault="00A94A10" w:rsidP="00BE68EC">
            <w:pPr>
              <w:jc w:val="center"/>
              <w:rPr>
                <w:sz w:val="16"/>
                <w:szCs w:val="16"/>
              </w:rPr>
            </w:pPr>
            <w:r w:rsidRPr="00AE58C7">
              <w:rPr>
                <w:sz w:val="16"/>
                <w:szCs w:val="16"/>
              </w:rPr>
              <w:t>(0.015)</w:t>
            </w:r>
          </w:p>
        </w:tc>
        <w:tc>
          <w:tcPr>
            <w:tcW w:w="1572" w:type="dxa"/>
            <w:gridSpan w:val="2"/>
            <w:tcBorders>
              <w:right w:val="single" w:sz="4" w:space="0" w:color="auto"/>
            </w:tcBorders>
            <w:vAlign w:val="center"/>
          </w:tcPr>
          <w:p w14:paraId="7020A366" w14:textId="77777777" w:rsidR="00A94A10" w:rsidRPr="00AE58C7" w:rsidRDefault="00A94A10" w:rsidP="00BE68EC">
            <w:pPr>
              <w:jc w:val="center"/>
              <w:rPr>
                <w:sz w:val="16"/>
                <w:szCs w:val="16"/>
              </w:rPr>
            </w:pPr>
            <w:r w:rsidRPr="00AE58C7">
              <w:rPr>
                <w:sz w:val="16"/>
                <w:szCs w:val="16"/>
              </w:rPr>
              <w:t>-0.085***</w:t>
            </w:r>
          </w:p>
          <w:p w14:paraId="2F298102" w14:textId="77777777" w:rsidR="00A94A10" w:rsidRPr="00AE58C7" w:rsidRDefault="00A94A10" w:rsidP="00BE68EC">
            <w:pPr>
              <w:jc w:val="center"/>
              <w:rPr>
                <w:sz w:val="16"/>
                <w:szCs w:val="16"/>
              </w:rPr>
            </w:pPr>
            <w:r w:rsidRPr="00AE58C7">
              <w:rPr>
                <w:sz w:val="16"/>
                <w:szCs w:val="16"/>
              </w:rPr>
              <w:t>(0.015)</w:t>
            </w:r>
          </w:p>
        </w:tc>
        <w:tc>
          <w:tcPr>
            <w:tcW w:w="1571" w:type="dxa"/>
            <w:tcBorders>
              <w:left w:val="single" w:sz="4" w:space="0" w:color="auto"/>
            </w:tcBorders>
          </w:tcPr>
          <w:p w14:paraId="6646F46E" w14:textId="77777777" w:rsidR="00A94A10" w:rsidRDefault="00A94A10" w:rsidP="00BE68EC">
            <w:pPr>
              <w:jc w:val="center"/>
              <w:rPr>
                <w:sz w:val="16"/>
                <w:szCs w:val="16"/>
              </w:rPr>
            </w:pPr>
            <w:r>
              <w:rPr>
                <w:sz w:val="16"/>
                <w:szCs w:val="16"/>
              </w:rPr>
              <w:t>0.240***</w:t>
            </w:r>
          </w:p>
          <w:p w14:paraId="4B1BFD79" w14:textId="77777777" w:rsidR="00A94A10" w:rsidRPr="00AE58C7" w:rsidRDefault="00A94A10" w:rsidP="00BE68EC">
            <w:pPr>
              <w:jc w:val="center"/>
              <w:rPr>
                <w:sz w:val="16"/>
                <w:szCs w:val="16"/>
              </w:rPr>
            </w:pPr>
            <w:r>
              <w:rPr>
                <w:sz w:val="16"/>
                <w:szCs w:val="16"/>
              </w:rPr>
              <w:t>(0.018)</w:t>
            </w:r>
          </w:p>
        </w:tc>
        <w:tc>
          <w:tcPr>
            <w:tcW w:w="1572" w:type="dxa"/>
          </w:tcPr>
          <w:p w14:paraId="0BD7D8D0" w14:textId="77777777" w:rsidR="00A94A10" w:rsidRDefault="00A94A10" w:rsidP="00BE68EC">
            <w:pPr>
              <w:jc w:val="center"/>
              <w:rPr>
                <w:sz w:val="16"/>
                <w:szCs w:val="16"/>
              </w:rPr>
            </w:pPr>
            <w:r>
              <w:rPr>
                <w:sz w:val="16"/>
                <w:szCs w:val="16"/>
              </w:rPr>
              <w:t>0.234***</w:t>
            </w:r>
          </w:p>
          <w:p w14:paraId="72A54C78" w14:textId="77777777" w:rsidR="00A94A10" w:rsidRPr="00AE58C7" w:rsidRDefault="00A94A10" w:rsidP="00BE68EC">
            <w:pPr>
              <w:jc w:val="center"/>
              <w:rPr>
                <w:sz w:val="16"/>
                <w:szCs w:val="16"/>
              </w:rPr>
            </w:pPr>
            <w:r>
              <w:rPr>
                <w:sz w:val="16"/>
                <w:szCs w:val="16"/>
              </w:rPr>
              <w:t>(0.017)</w:t>
            </w:r>
          </w:p>
        </w:tc>
      </w:tr>
      <w:tr w:rsidR="00A94A10" w:rsidRPr="00AE58C7" w14:paraId="002C488A" w14:textId="77777777" w:rsidTr="00BE68EC">
        <w:tc>
          <w:tcPr>
            <w:tcW w:w="2740" w:type="dxa"/>
            <w:vAlign w:val="center"/>
          </w:tcPr>
          <w:p w14:paraId="5095F337" w14:textId="77777777" w:rsidR="00A94A10" w:rsidRPr="00AE58C7" w:rsidRDefault="00A94A10" w:rsidP="00BE68EC">
            <w:pPr>
              <w:rPr>
                <w:b/>
                <w:bCs/>
                <w:sz w:val="16"/>
                <w:szCs w:val="16"/>
              </w:rPr>
            </w:pPr>
            <w:r w:rsidRPr="00AE58C7">
              <w:rPr>
                <w:sz w:val="16"/>
                <w:szCs w:val="16"/>
              </w:rPr>
              <w:t>Disability</w:t>
            </w:r>
          </w:p>
        </w:tc>
        <w:tc>
          <w:tcPr>
            <w:tcW w:w="1571" w:type="dxa"/>
            <w:vAlign w:val="center"/>
          </w:tcPr>
          <w:p w14:paraId="23A07214" w14:textId="77777777" w:rsidR="00A94A10" w:rsidRPr="00AE58C7" w:rsidRDefault="00A94A10" w:rsidP="00BE68EC">
            <w:pPr>
              <w:jc w:val="center"/>
              <w:rPr>
                <w:sz w:val="16"/>
                <w:szCs w:val="16"/>
              </w:rPr>
            </w:pPr>
            <w:r w:rsidRPr="00AE58C7">
              <w:rPr>
                <w:sz w:val="16"/>
                <w:szCs w:val="16"/>
              </w:rPr>
              <w:t>0.077***</w:t>
            </w:r>
          </w:p>
          <w:p w14:paraId="5D452EB9" w14:textId="77777777" w:rsidR="00A94A10" w:rsidRPr="00AE58C7" w:rsidRDefault="00A94A10" w:rsidP="00BE68EC">
            <w:pPr>
              <w:jc w:val="center"/>
              <w:rPr>
                <w:sz w:val="16"/>
                <w:szCs w:val="16"/>
              </w:rPr>
            </w:pPr>
            <w:r w:rsidRPr="00AE58C7">
              <w:rPr>
                <w:sz w:val="16"/>
                <w:szCs w:val="16"/>
              </w:rPr>
              <w:t>(0.014)</w:t>
            </w:r>
          </w:p>
        </w:tc>
        <w:tc>
          <w:tcPr>
            <w:tcW w:w="1572" w:type="dxa"/>
            <w:gridSpan w:val="2"/>
            <w:tcBorders>
              <w:right w:val="single" w:sz="4" w:space="0" w:color="auto"/>
            </w:tcBorders>
            <w:vAlign w:val="center"/>
          </w:tcPr>
          <w:p w14:paraId="421E57A8" w14:textId="77777777" w:rsidR="00A94A10" w:rsidRPr="00AE58C7" w:rsidRDefault="00A94A10" w:rsidP="00BE68EC">
            <w:pPr>
              <w:jc w:val="center"/>
              <w:rPr>
                <w:sz w:val="16"/>
                <w:szCs w:val="16"/>
              </w:rPr>
            </w:pPr>
            <w:r w:rsidRPr="00AE58C7">
              <w:rPr>
                <w:sz w:val="16"/>
                <w:szCs w:val="16"/>
              </w:rPr>
              <w:t>0.071***</w:t>
            </w:r>
          </w:p>
          <w:p w14:paraId="2115A9D1" w14:textId="77777777" w:rsidR="00A94A10" w:rsidRPr="00AE58C7" w:rsidRDefault="00A94A10" w:rsidP="00BE68EC">
            <w:pPr>
              <w:jc w:val="center"/>
              <w:rPr>
                <w:sz w:val="16"/>
                <w:szCs w:val="16"/>
              </w:rPr>
            </w:pPr>
            <w:r w:rsidRPr="00AE58C7">
              <w:rPr>
                <w:sz w:val="16"/>
                <w:szCs w:val="16"/>
              </w:rPr>
              <w:t>(0.014)</w:t>
            </w:r>
          </w:p>
        </w:tc>
        <w:tc>
          <w:tcPr>
            <w:tcW w:w="1571" w:type="dxa"/>
            <w:tcBorders>
              <w:left w:val="single" w:sz="4" w:space="0" w:color="auto"/>
            </w:tcBorders>
          </w:tcPr>
          <w:p w14:paraId="57206BF9" w14:textId="77777777" w:rsidR="00A94A10" w:rsidRDefault="00A94A10" w:rsidP="00BE68EC">
            <w:pPr>
              <w:jc w:val="center"/>
              <w:rPr>
                <w:sz w:val="16"/>
                <w:szCs w:val="16"/>
              </w:rPr>
            </w:pPr>
            <w:r>
              <w:rPr>
                <w:sz w:val="16"/>
                <w:szCs w:val="16"/>
              </w:rPr>
              <w:t>-0.062***</w:t>
            </w:r>
          </w:p>
          <w:p w14:paraId="11DB2061" w14:textId="77777777" w:rsidR="00A94A10" w:rsidRPr="00AE58C7" w:rsidRDefault="00A94A10" w:rsidP="00BE68EC">
            <w:pPr>
              <w:jc w:val="center"/>
              <w:rPr>
                <w:sz w:val="16"/>
                <w:szCs w:val="16"/>
              </w:rPr>
            </w:pPr>
            <w:r>
              <w:rPr>
                <w:sz w:val="16"/>
                <w:szCs w:val="16"/>
              </w:rPr>
              <w:t>(0.012)</w:t>
            </w:r>
          </w:p>
        </w:tc>
        <w:tc>
          <w:tcPr>
            <w:tcW w:w="1572" w:type="dxa"/>
          </w:tcPr>
          <w:p w14:paraId="1E75D274" w14:textId="77777777" w:rsidR="00A94A10" w:rsidRDefault="00A94A10" w:rsidP="00BE68EC">
            <w:pPr>
              <w:jc w:val="center"/>
              <w:rPr>
                <w:sz w:val="16"/>
                <w:szCs w:val="16"/>
              </w:rPr>
            </w:pPr>
            <w:r>
              <w:rPr>
                <w:sz w:val="16"/>
                <w:szCs w:val="16"/>
              </w:rPr>
              <w:t>-0.059***</w:t>
            </w:r>
          </w:p>
          <w:p w14:paraId="29175BDF" w14:textId="77777777" w:rsidR="00A94A10" w:rsidRPr="00AE58C7" w:rsidRDefault="00A94A10" w:rsidP="00BE68EC">
            <w:pPr>
              <w:jc w:val="center"/>
              <w:rPr>
                <w:sz w:val="16"/>
                <w:szCs w:val="16"/>
              </w:rPr>
            </w:pPr>
            <w:r>
              <w:rPr>
                <w:sz w:val="16"/>
                <w:szCs w:val="16"/>
              </w:rPr>
              <w:t>(0.012)</w:t>
            </w:r>
          </w:p>
        </w:tc>
      </w:tr>
      <w:tr w:rsidR="00A94A10" w:rsidRPr="00AE58C7" w14:paraId="4CB2DEFE" w14:textId="77777777" w:rsidTr="00BE68EC">
        <w:tc>
          <w:tcPr>
            <w:tcW w:w="2740" w:type="dxa"/>
            <w:vAlign w:val="center"/>
          </w:tcPr>
          <w:p w14:paraId="3DE79765" w14:textId="77777777" w:rsidR="00A94A10" w:rsidRPr="00AE58C7" w:rsidRDefault="00A94A10" w:rsidP="00BE68EC">
            <w:pPr>
              <w:rPr>
                <w:b/>
                <w:bCs/>
                <w:sz w:val="16"/>
                <w:szCs w:val="16"/>
              </w:rPr>
            </w:pPr>
            <w:r w:rsidRPr="00AE58C7">
              <w:rPr>
                <w:sz w:val="16"/>
                <w:szCs w:val="16"/>
              </w:rPr>
              <w:t>Not born in Ireland</w:t>
            </w:r>
          </w:p>
        </w:tc>
        <w:tc>
          <w:tcPr>
            <w:tcW w:w="1571" w:type="dxa"/>
            <w:vAlign w:val="center"/>
          </w:tcPr>
          <w:p w14:paraId="78A7DF8C" w14:textId="77777777" w:rsidR="00A94A10" w:rsidRPr="00AE58C7" w:rsidRDefault="00A94A10" w:rsidP="00BE68EC">
            <w:pPr>
              <w:jc w:val="center"/>
              <w:rPr>
                <w:sz w:val="16"/>
                <w:szCs w:val="16"/>
              </w:rPr>
            </w:pPr>
            <w:r w:rsidRPr="00AE58C7">
              <w:rPr>
                <w:sz w:val="16"/>
                <w:szCs w:val="16"/>
              </w:rPr>
              <w:t>-0.014</w:t>
            </w:r>
          </w:p>
          <w:p w14:paraId="5B37EEA0" w14:textId="77777777" w:rsidR="00A94A10" w:rsidRPr="00AE58C7" w:rsidRDefault="00A94A10" w:rsidP="00BE68EC">
            <w:pPr>
              <w:jc w:val="center"/>
              <w:rPr>
                <w:sz w:val="16"/>
                <w:szCs w:val="16"/>
              </w:rPr>
            </w:pPr>
            <w:r w:rsidRPr="00AE58C7">
              <w:rPr>
                <w:sz w:val="16"/>
                <w:szCs w:val="16"/>
              </w:rPr>
              <w:t>(0.011)</w:t>
            </w:r>
          </w:p>
        </w:tc>
        <w:tc>
          <w:tcPr>
            <w:tcW w:w="1572" w:type="dxa"/>
            <w:gridSpan w:val="2"/>
            <w:tcBorders>
              <w:right w:val="single" w:sz="4" w:space="0" w:color="auto"/>
            </w:tcBorders>
            <w:vAlign w:val="center"/>
          </w:tcPr>
          <w:p w14:paraId="0BCA5834" w14:textId="77777777" w:rsidR="00A94A10" w:rsidRPr="00AE58C7" w:rsidRDefault="00A94A10" w:rsidP="00BE68EC">
            <w:pPr>
              <w:jc w:val="center"/>
              <w:rPr>
                <w:sz w:val="16"/>
                <w:szCs w:val="16"/>
              </w:rPr>
            </w:pPr>
            <w:r w:rsidRPr="00AE58C7">
              <w:rPr>
                <w:sz w:val="16"/>
                <w:szCs w:val="16"/>
              </w:rPr>
              <w:t>-0.008</w:t>
            </w:r>
          </w:p>
          <w:p w14:paraId="6CA681D4" w14:textId="77777777" w:rsidR="00A94A10" w:rsidRPr="00AE58C7" w:rsidRDefault="00A94A10" w:rsidP="00BE68EC">
            <w:pPr>
              <w:jc w:val="center"/>
              <w:rPr>
                <w:sz w:val="16"/>
                <w:szCs w:val="16"/>
              </w:rPr>
            </w:pPr>
            <w:r w:rsidRPr="00AE58C7">
              <w:rPr>
                <w:sz w:val="16"/>
                <w:szCs w:val="16"/>
              </w:rPr>
              <w:t>(0.011)</w:t>
            </w:r>
          </w:p>
        </w:tc>
        <w:tc>
          <w:tcPr>
            <w:tcW w:w="1571" w:type="dxa"/>
            <w:tcBorders>
              <w:left w:val="single" w:sz="4" w:space="0" w:color="auto"/>
            </w:tcBorders>
          </w:tcPr>
          <w:p w14:paraId="4ACF9208" w14:textId="77777777" w:rsidR="00A94A10" w:rsidRDefault="00A94A10" w:rsidP="00BE68EC">
            <w:pPr>
              <w:jc w:val="center"/>
              <w:rPr>
                <w:sz w:val="16"/>
                <w:szCs w:val="16"/>
              </w:rPr>
            </w:pPr>
            <w:r>
              <w:rPr>
                <w:sz w:val="16"/>
                <w:szCs w:val="16"/>
              </w:rPr>
              <w:t>-0.007</w:t>
            </w:r>
          </w:p>
          <w:p w14:paraId="18222C07" w14:textId="77777777" w:rsidR="00A94A10" w:rsidRPr="00AE58C7" w:rsidRDefault="00A94A10" w:rsidP="00BE68EC">
            <w:pPr>
              <w:jc w:val="center"/>
              <w:rPr>
                <w:sz w:val="16"/>
                <w:szCs w:val="16"/>
              </w:rPr>
            </w:pPr>
            <w:r>
              <w:rPr>
                <w:sz w:val="16"/>
                <w:szCs w:val="16"/>
              </w:rPr>
              <w:t>(0.012)</w:t>
            </w:r>
          </w:p>
        </w:tc>
        <w:tc>
          <w:tcPr>
            <w:tcW w:w="1572" w:type="dxa"/>
          </w:tcPr>
          <w:p w14:paraId="71FFCA54" w14:textId="77777777" w:rsidR="00A94A10" w:rsidRDefault="00A94A10" w:rsidP="00BE68EC">
            <w:pPr>
              <w:jc w:val="center"/>
              <w:rPr>
                <w:sz w:val="16"/>
                <w:szCs w:val="16"/>
              </w:rPr>
            </w:pPr>
            <w:r>
              <w:rPr>
                <w:sz w:val="16"/>
                <w:szCs w:val="16"/>
              </w:rPr>
              <w:t>-0.009</w:t>
            </w:r>
          </w:p>
          <w:p w14:paraId="7D01E4C9" w14:textId="77777777" w:rsidR="00A94A10" w:rsidRPr="00AE58C7" w:rsidRDefault="00A94A10" w:rsidP="00BE68EC">
            <w:pPr>
              <w:jc w:val="center"/>
              <w:rPr>
                <w:sz w:val="16"/>
                <w:szCs w:val="16"/>
              </w:rPr>
            </w:pPr>
            <w:r>
              <w:rPr>
                <w:sz w:val="16"/>
                <w:szCs w:val="16"/>
              </w:rPr>
              <w:t>(0.012)</w:t>
            </w:r>
          </w:p>
        </w:tc>
      </w:tr>
      <w:tr w:rsidR="00A94A10" w:rsidRPr="00AE58C7" w14:paraId="3E521BE8" w14:textId="77777777" w:rsidTr="00BE68EC">
        <w:tc>
          <w:tcPr>
            <w:tcW w:w="2740" w:type="dxa"/>
            <w:vAlign w:val="center"/>
          </w:tcPr>
          <w:p w14:paraId="05218660" w14:textId="77777777" w:rsidR="00A94A10" w:rsidRPr="00AE58C7" w:rsidRDefault="00A94A10" w:rsidP="00BE68EC">
            <w:pPr>
              <w:rPr>
                <w:sz w:val="16"/>
                <w:szCs w:val="16"/>
              </w:rPr>
            </w:pPr>
            <w:r w:rsidRPr="00AE58C7">
              <w:rPr>
                <w:i/>
                <w:iCs/>
                <w:sz w:val="16"/>
                <w:szCs w:val="16"/>
              </w:rPr>
              <w:t>Marital status (Ref: single)</w:t>
            </w:r>
          </w:p>
        </w:tc>
        <w:tc>
          <w:tcPr>
            <w:tcW w:w="1571" w:type="dxa"/>
            <w:vAlign w:val="center"/>
          </w:tcPr>
          <w:p w14:paraId="722CCB04" w14:textId="77777777" w:rsidR="00A94A10" w:rsidRPr="00AE58C7" w:rsidRDefault="00A94A10" w:rsidP="00BE68EC">
            <w:pPr>
              <w:jc w:val="center"/>
              <w:rPr>
                <w:sz w:val="16"/>
                <w:szCs w:val="16"/>
              </w:rPr>
            </w:pPr>
          </w:p>
        </w:tc>
        <w:tc>
          <w:tcPr>
            <w:tcW w:w="1572" w:type="dxa"/>
            <w:gridSpan w:val="2"/>
            <w:tcBorders>
              <w:right w:val="single" w:sz="4" w:space="0" w:color="auto"/>
            </w:tcBorders>
            <w:vAlign w:val="center"/>
          </w:tcPr>
          <w:p w14:paraId="3B7556DC" w14:textId="77777777" w:rsidR="00A94A10" w:rsidRPr="00AE58C7" w:rsidRDefault="00A94A10" w:rsidP="00BE68EC">
            <w:pPr>
              <w:jc w:val="center"/>
              <w:rPr>
                <w:sz w:val="16"/>
                <w:szCs w:val="16"/>
              </w:rPr>
            </w:pPr>
          </w:p>
        </w:tc>
        <w:tc>
          <w:tcPr>
            <w:tcW w:w="1571" w:type="dxa"/>
            <w:tcBorders>
              <w:left w:val="single" w:sz="4" w:space="0" w:color="auto"/>
            </w:tcBorders>
          </w:tcPr>
          <w:p w14:paraId="1F91F9E2" w14:textId="77777777" w:rsidR="00A94A10" w:rsidRDefault="00A94A10" w:rsidP="00BE68EC">
            <w:pPr>
              <w:jc w:val="center"/>
              <w:rPr>
                <w:sz w:val="16"/>
                <w:szCs w:val="16"/>
              </w:rPr>
            </w:pPr>
          </w:p>
        </w:tc>
        <w:tc>
          <w:tcPr>
            <w:tcW w:w="1572" w:type="dxa"/>
          </w:tcPr>
          <w:p w14:paraId="3E2C2346" w14:textId="77777777" w:rsidR="00A94A10" w:rsidRDefault="00A94A10" w:rsidP="00BE68EC">
            <w:pPr>
              <w:jc w:val="center"/>
              <w:rPr>
                <w:sz w:val="16"/>
                <w:szCs w:val="16"/>
              </w:rPr>
            </w:pPr>
          </w:p>
        </w:tc>
      </w:tr>
      <w:tr w:rsidR="00A94A10" w:rsidRPr="00AE58C7" w14:paraId="025155BF" w14:textId="77777777" w:rsidTr="00BE68EC">
        <w:tc>
          <w:tcPr>
            <w:tcW w:w="2740" w:type="dxa"/>
            <w:vAlign w:val="center"/>
          </w:tcPr>
          <w:p w14:paraId="6F056733" w14:textId="77777777" w:rsidR="00A94A10" w:rsidRPr="00AE58C7" w:rsidRDefault="00A94A10" w:rsidP="00BE68EC">
            <w:pPr>
              <w:rPr>
                <w:b/>
                <w:bCs/>
                <w:sz w:val="16"/>
                <w:szCs w:val="16"/>
              </w:rPr>
            </w:pPr>
            <w:r w:rsidRPr="00AE58C7">
              <w:rPr>
                <w:sz w:val="16"/>
                <w:szCs w:val="16"/>
              </w:rPr>
              <w:t xml:space="preserve"> Married/</w:t>
            </w:r>
            <w:r>
              <w:rPr>
                <w:sz w:val="16"/>
                <w:szCs w:val="16"/>
              </w:rPr>
              <w:t>c</w:t>
            </w:r>
            <w:r w:rsidRPr="00AE58C7">
              <w:rPr>
                <w:sz w:val="16"/>
                <w:szCs w:val="16"/>
              </w:rPr>
              <w:t>ivil partnership</w:t>
            </w:r>
          </w:p>
        </w:tc>
        <w:tc>
          <w:tcPr>
            <w:tcW w:w="1571" w:type="dxa"/>
            <w:vAlign w:val="center"/>
          </w:tcPr>
          <w:p w14:paraId="3D54FA27" w14:textId="77777777" w:rsidR="00A94A10" w:rsidRPr="00AE58C7" w:rsidRDefault="00A94A10" w:rsidP="00BE68EC">
            <w:pPr>
              <w:jc w:val="center"/>
              <w:rPr>
                <w:sz w:val="16"/>
                <w:szCs w:val="16"/>
              </w:rPr>
            </w:pPr>
            <w:r w:rsidRPr="00AE58C7">
              <w:rPr>
                <w:sz w:val="16"/>
                <w:szCs w:val="16"/>
              </w:rPr>
              <w:t>-0.040***</w:t>
            </w:r>
          </w:p>
          <w:p w14:paraId="000D6FEE" w14:textId="77777777" w:rsidR="00A94A10" w:rsidRPr="00AE58C7" w:rsidRDefault="00A94A10" w:rsidP="00BE68EC">
            <w:pPr>
              <w:jc w:val="center"/>
              <w:rPr>
                <w:sz w:val="16"/>
                <w:szCs w:val="16"/>
              </w:rPr>
            </w:pPr>
            <w:r w:rsidRPr="00AE58C7">
              <w:rPr>
                <w:sz w:val="16"/>
                <w:szCs w:val="16"/>
              </w:rPr>
              <w:t>(0.011)</w:t>
            </w:r>
          </w:p>
        </w:tc>
        <w:tc>
          <w:tcPr>
            <w:tcW w:w="1572" w:type="dxa"/>
            <w:gridSpan w:val="2"/>
            <w:tcBorders>
              <w:right w:val="single" w:sz="4" w:space="0" w:color="auto"/>
            </w:tcBorders>
            <w:vAlign w:val="center"/>
          </w:tcPr>
          <w:p w14:paraId="1E8BB50F" w14:textId="77777777" w:rsidR="00A94A10" w:rsidRPr="00AE58C7" w:rsidRDefault="00A94A10" w:rsidP="00BE68EC">
            <w:pPr>
              <w:jc w:val="center"/>
              <w:rPr>
                <w:sz w:val="16"/>
                <w:szCs w:val="16"/>
              </w:rPr>
            </w:pPr>
            <w:r w:rsidRPr="00AE58C7">
              <w:rPr>
                <w:sz w:val="16"/>
                <w:szCs w:val="16"/>
              </w:rPr>
              <w:t>-0.037**</w:t>
            </w:r>
          </w:p>
          <w:p w14:paraId="70ADD1BF" w14:textId="77777777" w:rsidR="00A94A10" w:rsidRPr="00AE58C7" w:rsidRDefault="00A94A10" w:rsidP="00BE68EC">
            <w:pPr>
              <w:jc w:val="center"/>
              <w:rPr>
                <w:sz w:val="16"/>
                <w:szCs w:val="16"/>
              </w:rPr>
            </w:pPr>
            <w:r w:rsidRPr="00AE58C7">
              <w:rPr>
                <w:sz w:val="16"/>
                <w:szCs w:val="16"/>
              </w:rPr>
              <w:t>(0.011)</w:t>
            </w:r>
          </w:p>
        </w:tc>
        <w:tc>
          <w:tcPr>
            <w:tcW w:w="1571" w:type="dxa"/>
            <w:tcBorders>
              <w:left w:val="single" w:sz="4" w:space="0" w:color="auto"/>
            </w:tcBorders>
          </w:tcPr>
          <w:p w14:paraId="575476EF" w14:textId="77777777" w:rsidR="00A94A10" w:rsidRDefault="00A94A10" w:rsidP="00BE68EC">
            <w:pPr>
              <w:jc w:val="center"/>
              <w:rPr>
                <w:sz w:val="16"/>
                <w:szCs w:val="16"/>
              </w:rPr>
            </w:pPr>
            <w:r>
              <w:rPr>
                <w:sz w:val="16"/>
                <w:szCs w:val="16"/>
              </w:rPr>
              <w:t>0.046***</w:t>
            </w:r>
          </w:p>
          <w:p w14:paraId="5E63940D" w14:textId="77777777" w:rsidR="00A94A10" w:rsidRPr="00AE58C7" w:rsidRDefault="00A94A10" w:rsidP="00BE68EC">
            <w:pPr>
              <w:jc w:val="center"/>
              <w:rPr>
                <w:sz w:val="16"/>
                <w:szCs w:val="16"/>
              </w:rPr>
            </w:pPr>
            <w:r>
              <w:rPr>
                <w:sz w:val="16"/>
                <w:szCs w:val="16"/>
              </w:rPr>
              <w:t>(0.011)</w:t>
            </w:r>
          </w:p>
        </w:tc>
        <w:tc>
          <w:tcPr>
            <w:tcW w:w="1572" w:type="dxa"/>
          </w:tcPr>
          <w:p w14:paraId="2D339FC6" w14:textId="77777777" w:rsidR="00A94A10" w:rsidRDefault="00A94A10" w:rsidP="00BE68EC">
            <w:pPr>
              <w:jc w:val="center"/>
              <w:rPr>
                <w:sz w:val="16"/>
                <w:szCs w:val="16"/>
              </w:rPr>
            </w:pPr>
            <w:r>
              <w:rPr>
                <w:sz w:val="16"/>
                <w:szCs w:val="16"/>
              </w:rPr>
              <w:t>0.043***</w:t>
            </w:r>
          </w:p>
          <w:p w14:paraId="30853BBC" w14:textId="77777777" w:rsidR="00A94A10" w:rsidRPr="00AE58C7" w:rsidRDefault="00A94A10" w:rsidP="00BE68EC">
            <w:pPr>
              <w:jc w:val="center"/>
              <w:rPr>
                <w:sz w:val="16"/>
                <w:szCs w:val="16"/>
              </w:rPr>
            </w:pPr>
            <w:r>
              <w:rPr>
                <w:sz w:val="16"/>
                <w:szCs w:val="16"/>
              </w:rPr>
              <w:t>(0.011)</w:t>
            </w:r>
          </w:p>
        </w:tc>
      </w:tr>
      <w:tr w:rsidR="00A94A10" w:rsidRPr="00AE58C7" w14:paraId="347E3214" w14:textId="77777777" w:rsidTr="00BE68EC">
        <w:tc>
          <w:tcPr>
            <w:tcW w:w="2740" w:type="dxa"/>
            <w:vAlign w:val="center"/>
          </w:tcPr>
          <w:p w14:paraId="05532794" w14:textId="77777777" w:rsidR="00A94A10" w:rsidRPr="00AE58C7" w:rsidRDefault="00A94A10" w:rsidP="00BE68EC">
            <w:pPr>
              <w:rPr>
                <w:b/>
                <w:bCs/>
                <w:sz w:val="16"/>
                <w:szCs w:val="16"/>
              </w:rPr>
            </w:pPr>
            <w:r w:rsidRPr="00AE58C7">
              <w:rPr>
                <w:sz w:val="16"/>
                <w:szCs w:val="16"/>
              </w:rPr>
              <w:t xml:space="preserve"> Separated/divorced</w:t>
            </w:r>
          </w:p>
        </w:tc>
        <w:tc>
          <w:tcPr>
            <w:tcW w:w="1571" w:type="dxa"/>
            <w:vAlign w:val="center"/>
          </w:tcPr>
          <w:p w14:paraId="62220C2B" w14:textId="77777777" w:rsidR="00A94A10" w:rsidRPr="00AE58C7" w:rsidRDefault="00A94A10" w:rsidP="00BE68EC">
            <w:pPr>
              <w:jc w:val="center"/>
              <w:rPr>
                <w:sz w:val="16"/>
                <w:szCs w:val="16"/>
              </w:rPr>
            </w:pPr>
            <w:r w:rsidRPr="00AE58C7">
              <w:rPr>
                <w:sz w:val="16"/>
                <w:szCs w:val="16"/>
              </w:rPr>
              <w:t>0.023</w:t>
            </w:r>
          </w:p>
          <w:p w14:paraId="4F39AF51" w14:textId="77777777" w:rsidR="00A94A10" w:rsidRPr="00AE58C7" w:rsidRDefault="00A94A10" w:rsidP="00BE68EC">
            <w:pPr>
              <w:jc w:val="center"/>
              <w:rPr>
                <w:sz w:val="16"/>
                <w:szCs w:val="16"/>
              </w:rPr>
            </w:pPr>
            <w:r w:rsidRPr="00AE58C7">
              <w:rPr>
                <w:sz w:val="16"/>
                <w:szCs w:val="16"/>
              </w:rPr>
              <w:t>(0.020)</w:t>
            </w:r>
          </w:p>
        </w:tc>
        <w:tc>
          <w:tcPr>
            <w:tcW w:w="1572" w:type="dxa"/>
            <w:gridSpan w:val="2"/>
            <w:tcBorders>
              <w:right w:val="single" w:sz="4" w:space="0" w:color="auto"/>
            </w:tcBorders>
            <w:vAlign w:val="center"/>
          </w:tcPr>
          <w:p w14:paraId="7307A1F2" w14:textId="77777777" w:rsidR="00A94A10" w:rsidRPr="00AE58C7" w:rsidRDefault="00A94A10" w:rsidP="00BE68EC">
            <w:pPr>
              <w:jc w:val="center"/>
              <w:rPr>
                <w:sz w:val="16"/>
                <w:szCs w:val="16"/>
              </w:rPr>
            </w:pPr>
            <w:r w:rsidRPr="00AE58C7">
              <w:rPr>
                <w:sz w:val="16"/>
                <w:szCs w:val="16"/>
              </w:rPr>
              <w:t>0.014</w:t>
            </w:r>
          </w:p>
          <w:p w14:paraId="06DCB3DC" w14:textId="77777777" w:rsidR="00A94A10" w:rsidRPr="00AE58C7" w:rsidRDefault="00A94A10" w:rsidP="00BE68EC">
            <w:pPr>
              <w:jc w:val="center"/>
              <w:rPr>
                <w:sz w:val="16"/>
                <w:szCs w:val="16"/>
              </w:rPr>
            </w:pPr>
            <w:r w:rsidRPr="00AE58C7">
              <w:rPr>
                <w:sz w:val="16"/>
                <w:szCs w:val="16"/>
              </w:rPr>
              <w:t>(0.018)</w:t>
            </w:r>
          </w:p>
        </w:tc>
        <w:tc>
          <w:tcPr>
            <w:tcW w:w="1571" w:type="dxa"/>
            <w:tcBorders>
              <w:left w:val="single" w:sz="4" w:space="0" w:color="auto"/>
            </w:tcBorders>
          </w:tcPr>
          <w:p w14:paraId="5BECA49C" w14:textId="77777777" w:rsidR="00A94A10" w:rsidRDefault="00A94A10" w:rsidP="00BE68EC">
            <w:pPr>
              <w:jc w:val="center"/>
              <w:rPr>
                <w:sz w:val="16"/>
                <w:szCs w:val="16"/>
              </w:rPr>
            </w:pPr>
            <w:r>
              <w:rPr>
                <w:sz w:val="16"/>
                <w:szCs w:val="16"/>
              </w:rPr>
              <w:t>-0.010</w:t>
            </w:r>
          </w:p>
          <w:p w14:paraId="2073DC86" w14:textId="77777777" w:rsidR="00A94A10" w:rsidRPr="00AE58C7" w:rsidRDefault="00A94A10" w:rsidP="00BE68EC">
            <w:pPr>
              <w:jc w:val="center"/>
              <w:rPr>
                <w:sz w:val="16"/>
                <w:szCs w:val="16"/>
              </w:rPr>
            </w:pPr>
            <w:r>
              <w:rPr>
                <w:sz w:val="16"/>
                <w:szCs w:val="16"/>
              </w:rPr>
              <w:t>(0.019)</w:t>
            </w:r>
          </w:p>
        </w:tc>
        <w:tc>
          <w:tcPr>
            <w:tcW w:w="1572" w:type="dxa"/>
          </w:tcPr>
          <w:p w14:paraId="17DFD115" w14:textId="77777777" w:rsidR="00A94A10" w:rsidRDefault="00A94A10" w:rsidP="00BE68EC">
            <w:pPr>
              <w:jc w:val="center"/>
              <w:rPr>
                <w:sz w:val="16"/>
                <w:szCs w:val="16"/>
              </w:rPr>
            </w:pPr>
            <w:r>
              <w:rPr>
                <w:sz w:val="16"/>
                <w:szCs w:val="16"/>
              </w:rPr>
              <w:t>-0.003</w:t>
            </w:r>
          </w:p>
          <w:p w14:paraId="0064C24A" w14:textId="77777777" w:rsidR="00A94A10" w:rsidRPr="00AE58C7" w:rsidRDefault="00A94A10" w:rsidP="00BE68EC">
            <w:pPr>
              <w:jc w:val="center"/>
              <w:rPr>
                <w:sz w:val="16"/>
                <w:szCs w:val="16"/>
              </w:rPr>
            </w:pPr>
            <w:r>
              <w:rPr>
                <w:sz w:val="16"/>
                <w:szCs w:val="16"/>
              </w:rPr>
              <w:t>(0.018)</w:t>
            </w:r>
          </w:p>
        </w:tc>
      </w:tr>
      <w:tr w:rsidR="00A94A10" w:rsidRPr="00AE58C7" w14:paraId="05F87C89" w14:textId="77777777" w:rsidTr="00BE68EC">
        <w:tc>
          <w:tcPr>
            <w:tcW w:w="2740" w:type="dxa"/>
            <w:vAlign w:val="center"/>
          </w:tcPr>
          <w:p w14:paraId="6853EEA6" w14:textId="77777777" w:rsidR="00A94A10" w:rsidRPr="00AE58C7" w:rsidRDefault="00A94A10" w:rsidP="00BE68EC">
            <w:pPr>
              <w:rPr>
                <w:b/>
                <w:bCs/>
                <w:sz w:val="16"/>
                <w:szCs w:val="16"/>
              </w:rPr>
            </w:pPr>
            <w:r w:rsidRPr="00AE58C7">
              <w:rPr>
                <w:sz w:val="16"/>
                <w:szCs w:val="16"/>
              </w:rPr>
              <w:t xml:space="preserve"> Widowed</w:t>
            </w:r>
          </w:p>
        </w:tc>
        <w:tc>
          <w:tcPr>
            <w:tcW w:w="1571" w:type="dxa"/>
            <w:vAlign w:val="center"/>
          </w:tcPr>
          <w:p w14:paraId="76F7462B" w14:textId="77777777" w:rsidR="00A94A10" w:rsidRPr="00AE58C7" w:rsidRDefault="00A94A10" w:rsidP="00BE68EC">
            <w:pPr>
              <w:jc w:val="center"/>
              <w:rPr>
                <w:sz w:val="16"/>
                <w:szCs w:val="16"/>
                <w:vertAlign w:val="superscript"/>
              </w:rPr>
            </w:pPr>
            <w:r w:rsidRPr="00AE58C7">
              <w:rPr>
                <w:sz w:val="16"/>
                <w:szCs w:val="16"/>
              </w:rPr>
              <w:t>-0.039</w:t>
            </w:r>
            <w:r w:rsidRPr="00AE58C7">
              <w:rPr>
                <w:sz w:val="16"/>
                <w:szCs w:val="16"/>
                <w:vertAlign w:val="superscript"/>
              </w:rPr>
              <w:t>+</w:t>
            </w:r>
          </w:p>
          <w:p w14:paraId="074BE718" w14:textId="77777777" w:rsidR="00A94A10" w:rsidRPr="00AE58C7" w:rsidRDefault="00A94A10" w:rsidP="00BE68EC">
            <w:pPr>
              <w:jc w:val="center"/>
              <w:rPr>
                <w:sz w:val="16"/>
                <w:szCs w:val="16"/>
              </w:rPr>
            </w:pPr>
            <w:r w:rsidRPr="00AE58C7">
              <w:rPr>
                <w:sz w:val="16"/>
                <w:szCs w:val="16"/>
              </w:rPr>
              <w:t>(0.020)</w:t>
            </w:r>
          </w:p>
        </w:tc>
        <w:tc>
          <w:tcPr>
            <w:tcW w:w="1572" w:type="dxa"/>
            <w:gridSpan w:val="2"/>
            <w:tcBorders>
              <w:right w:val="single" w:sz="4" w:space="0" w:color="auto"/>
            </w:tcBorders>
            <w:vAlign w:val="center"/>
          </w:tcPr>
          <w:p w14:paraId="05ED46C9" w14:textId="05CC49F0" w:rsidR="00A94A10" w:rsidRPr="00B811B1" w:rsidRDefault="00A94A10" w:rsidP="00BE68EC">
            <w:pPr>
              <w:jc w:val="center"/>
              <w:rPr>
                <w:sz w:val="16"/>
                <w:szCs w:val="16"/>
                <w:vertAlign w:val="superscript"/>
              </w:rPr>
            </w:pPr>
            <w:r w:rsidRPr="00AE58C7">
              <w:rPr>
                <w:sz w:val="16"/>
                <w:szCs w:val="16"/>
              </w:rPr>
              <w:t>-0.039</w:t>
            </w:r>
            <w:r w:rsidR="00B811B1">
              <w:rPr>
                <w:sz w:val="16"/>
                <w:szCs w:val="16"/>
                <w:vertAlign w:val="superscript"/>
              </w:rPr>
              <w:t>+</w:t>
            </w:r>
          </w:p>
          <w:p w14:paraId="7AC12FEF" w14:textId="77777777" w:rsidR="00A94A10" w:rsidRPr="00AE58C7" w:rsidRDefault="00A94A10" w:rsidP="00BE68EC">
            <w:pPr>
              <w:jc w:val="center"/>
              <w:rPr>
                <w:sz w:val="16"/>
                <w:szCs w:val="16"/>
              </w:rPr>
            </w:pPr>
            <w:r w:rsidRPr="00AE58C7">
              <w:rPr>
                <w:sz w:val="16"/>
                <w:szCs w:val="16"/>
              </w:rPr>
              <w:t>(0.020)</w:t>
            </w:r>
          </w:p>
        </w:tc>
        <w:tc>
          <w:tcPr>
            <w:tcW w:w="1571" w:type="dxa"/>
            <w:tcBorders>
              <w:left w:val="single" w:sz="4" w:space="0" w:color="auto"/>
            </w:tcBorders>
          </w:tcPr>
          <w:p w14:paraId="6058D663" w14:textId="77777777" w:rsidR="00A94A10" w:rsidRDefault="00A94A10" w:rsidP="00BE68EC">
            <w:pPr>
              <w:jc w:val="center"/>
              <w:rPr>
                <w:sz w:val="16"/>
                <w:szCs w:val="16"/>
              </w:rPr>
            </w:pPr>
            <w:r>
              <w:rPr>
                <w:sz w:val="16"/>
                <w:szCs w:val="16"/>
              </w:rPr>
              <w:t>0.008</w:t>
            </w:r>
          </w:p>
          <w:p w14:paraId="4B2589D4" w14:textId="77777777" w:rsidR="00A94A10" w:rsidRPr="00AE58C7" w:rsidRDefault="00A94A10" w:rsidP="00BE68EC">
            <w:pPr>
              <w:jc w:val="center"/>
              <w:rPr>
                <w:sz w:val="16"/>
                <w:szCs w:val="16"/>
              </w:rPr>
            </w:pPr>
            <w:r>
              <w:rPr>
                <w:sz w:val="16"/>
                <w:szCs w:val="16"/>
              </w:rPr>
              <w:t>(0.021)</w:t>
            </w:r>
          </w:p>
        </w:tc>
        <w:tc>
          <w:tcPr>
            <w:tcW w:w="1572" w:type="dxa"/>
          </w:tcPr>
          <w:p w14:paraId="7A255923" w14:textId="77777777" w:rsidR="00A94A10" w:rsidRDefault="00A94A10" w:rsidP="00BE68EC">
            <w:pPr>
              <w:jc w:val="center"/>
              <w:rPr>
                <w:sz w:val="16"/>
                <w:szCs w:val="16"/>
              </w:rPr>
            </w:pPr>
            <w:r>
              <w:rPr>
                <w:sz w:val="16"/>
                <w:szCs w:val="16"/>
              </w:rPr>
              <w:t>0.010</w:t>
            </w:r>
          </w:p>
          <w:p w14:paraId="05D98CBA" w14:textId="77777777" w:rsidR="00A94A10" w:rsidRPr="00AE58C7" w:rsidRDefault="00A94A10" w:rsidP="00BE68EC">
            <w:pPr>
              <w:jc w:val="center"/>
              <w:rPr>
                <w:sz w:val="16"/>
                <w:szCs w:val="16"/>
              </w:rPr>
            </w:pPr>
            <w:r>
              <w:rPr>
                <w:sz w:val="16"/>
                <w:szCs w:val="16"/>
              </w:rPr>
              <w:t>(0.020)</w:t>
            </w:r>
          </w:p>
        </w:tc>
      </w:tr>
      <w:tr w:rsidR="00A94A10" w:rsidRPr="00AE58C7" w14:paraId="7C9212C5" w14:textId="77777777" w:rsidTr="00BE68EC">
        <w:tc>
          <w:tcPr>
            <w:tcW w:w="2740" w:type="dxa"/>
            <w:vAlign w:val="center"/>
          </w:tcPr>
          <w:p w14:paraId="28CE59C1" w14:textId="77777777" w:rsidR="00A94A10" w:rsidRPr="00AE58C7" w:rsidRDefault="00A94A10" w:rsidP="00BE68EC">
            <w:pPr>
              <w:rPr>
                <w:b/>
                <w:bCs/>
                <w:sz w:val="16"/>
                <w:szCs w:val="16"/>
              </w:rPr>
            </w:pPr>
            <w:r w:rsidRPr="00AE58C7">
              <w:rPr>
                <w:sz w:val="16"/>
                <w:szCs w:val="16"/>
              </w:rPr>
              <w:t>Has children under 18</w:t>
            </w:r>
          </w:p>
        </w:tc>
        <w:tc>
          <w:tcPr>
            <w:tcW w:w="1571" w:type="dxa"/>
            <w:vAlign w:val="center"/>
          </w:tcPr>
          <w:p w14:paraId="0F560D9E" w14:textId="21645424" w:rsidR="00A94A10" w:rsidRPr="00AE58C7" w:rsidRDefault="00A94A10" w:rsidP="00BE68EC">
            <w:pPr>
              <w:jc w:val="center"/>
              <w:rPr>
                <w:sz w:val="16"/>
                <w:szCs w:val="16"/>
              </w:rPr>
            </w:pPr>
            <w:r w:rsidRPr="00AE58C7">
              <w:rPr>
                <w:sz w:val="16"/>
                <w:szCs w:val="16"/>
              </w:rPr>
              <w:t>0.00</w:t>
            </w:r>
            <w:r w:rsidR="00B327F4">
              <w:rPr>
                <w:sz w:val="16"/>
                <w:szCs w:val="16"/>
              </w:rPr>
              <w:t>2</w:t>
            </w:r>
          </w:p>
          <w:p w14:paraId="73552B54" w14:textId="77777777" w:rsidR="00A94A10" w:rsidRPr="00AE58C7" w:rsidRDefault="00A94A10" w:rsidP="00BE68EC">
            <w:pPr>
              <w:jc w:val="center"/>
              <w:rPr>
                <w:sz w:val="16"/>
                <w:szCs w:val="16"/>
              </w:rPr>
            </w:pPr>
            <w:r w:rsidRPr="00AE58C7">
              <w:rPr>
                <w:sz w:val="16"/>
                <w:szCs w:val="16"/>
              </w:rPr>
              <w:t>(0.012)</w:t>
            </w:r>
          </w:p>
        </w:tc>
        <w:tc>
          <w:tcPr>
            <w:tcW w:w="1572" w:type="dxa"/>
            <w:gridSpan w:val="2"/>
            <w:tcBorders>
              <w:right w:val="single" w:sz="4" w:space="0" w:color="auto"/>
            </w:tcBorders>
            <w:vAlign w:val="center"/>
          </w:tcPr>
          <w:p w14:paraId="256C39EA" w14:textId="432C5B0E" w:rsidR="00A94A10" w:rsidRPr="00AE58C7" w:rsidRDefault="00A94A10" w:rsidP="00BE68EC">
            <w:pPr>
              <w:jc w:val="center"/>
              <w:rPr>
                <w:sz w:val="16"/>
                <w:szCs w:val="16"/>
              </w:rPr>
            </w:pPr>
            <w:r w:rsidRPr="00AE58C7">
              <w:rPr>
                <w:sz w:val="16"/>
                <w:szCs w:val="16"/>
              </w:rPr>
              <w:t>0.00</w:t>
            </w:r>
            <w:r w:rsidR="00E97FCB">
              <w:rPr>
                <w:sz w:val="16"/>
                <w:szCs w:val="16"/>
              </w:rPr>
              <w:t>3</w:t>
            </w:r>
          </w:p>
          <w:p w14:paraId="43F69E59" w14:textId="77777777" w:rsidR="00A94A10" w:rsidRPr="00AE58C7" w:rsidRDefault="00A94A10" w:rsidP="00BE68EC">
            <w:pPr>
              <w:jc w:val="center"/>
              <w:rPr>
                <w:sz w:val="16"/>
                <w:szCs w:val="16"/>
              </w:rPr>
            </w:pPr>
            <w:r w:rsidRPr="00AE58C7">
              <w:rPr>
                <w:sz w:val="16"/>
                <w:szCs w:val="16"/>
              </w:rPr>
              <w:t>(0.012)</w:t>
            </w:r>
          </w:p>
        </w:tc>
        <w:tc>
          <w:tcPr>
            <w:tcW w:w="1571" w:type="dxa"/>
            <w:tcBorders>
              <w:left w:val="single" w:sz="4" w:space="0" w:color="auto"/>
            </w:tcBorders>
          </w:tcPr>
          <w:p w14:paraId="67259C17" w14:textId="77777777" w:rsidR="00A94A10" w:rsidRDefault="00A94A10" w:rsidP="00BE68EC">
            <w:pPr>
              <w:jc w:val="center"/>
              <w:rPr>
                <w:sz w:val="16"/>
                <w:szCs w:val="16"/>
              </w:rPr>
            </w:pPr>
            <w:r>
              <w:rPr>
                <w:sz w:val="16"/>
                <w:szCs w:val="16"/>
              </w:rPr>
              <w:t>0.017</w:t>
            </w:r>
          </w:p>
          <w:p w14:paraId="28E1FD71" w14:textId="77777777" w:rsidR="00A94A10" w:rsidRPr="00AE58C7" w:rsidRDefault="00A94A10" w:rsidP="00BE68EC">
            <w:pPr>
              <w:jc w:val="center"/>
              <w:rPr>
                <w:sz w:val="16"/>
                <w:szCs w:val="16"/>
              </w:rPr>
            </w:pPr>
            <w:r>
              <w:rPr>
                <w:sz w:val="16"/>
                <w:szCs w:val="16"/>
              </w:rPr>
              <w:t>(0.012)</w:t>
            </w:r>
          </w:p>
        </w:tc>
        <w:tc>
          <w:tcPr>
            <w:tcW w:w="1572" w:type="dxa"/>
          </w:tcPr>
          <w:p w14:paraId="00C49ECA" w14:textId="77777777" w:rsidR="00A94A10" w:rsidRDefault="00A94A10" w:rsidP="00BE68EC">
            <w:pPr>
              <w:jc w:val="center"/>
              <w:rPr>
                <w:sz w:val="16"/>
                <w:szCs w:val="16"/>
              </w:rPr>
            </w:pPr>
            <w:r>
              <w:rPr>
                <w:sz w:val="16"/>
                <w:szCs w:val="16"/>
              </w:rPr>
              <w:t>0.016</w:t>
            </w:r>
          </w:p>
          <w:p w14:paraId="120C4A7B" w14:textId="77777777" w:rsidR="00A94A10" w:rsidRPr="00AE58C7" w:rsidRDefault="00A94A10" w:rsidP="00BE68EC">
            <w:pPr>
              <w:jc w:val="center"/>
              <w:rPr>
                <w:sz w:val="16"/>
                <w:szCs w:val="16"/>
              </w:rPr>
            </w:pPr>
            <w:r>
              <w:rPr>
                <w:sz w:val="16"/>
                <w:szCs w:val="16"/>
              </w:rPr>
              <w:t>(0.012)</w:t>
            </w:r>
          </w:p>
        </w:tc>
      </w:tr>
      <w:tr w:rsidR="00A94A10" w:rsidRPr="00AE58C7" w14:paraId="02D47FB7" w14:textId="77777777" w:rsidTr="00BE68EC">
        <w:tc>
          <w:tcPr>
            <w:tcW w:w="2740" w:type="dxa"/>
            <w:vAlign w:val="center"/>
          </w:tcPr>
          <w:p w14:paraId="0AE6FCDA" w14:textId="77777777" w:rsidR="00A94A10" w:rsidRPr="00AE58C7" w:rsidRDefault="00A94A10" w:rsidP="00BE68EC">
            <w:pPr>
              <w:rPr>
                <w:b/>
                <w:bCs/>
                <w:sz w:val="16"/>
                <w:szCs w:val="16"/>
              </w:rPr>
            </w:pPr>
            <w:r w:rsidRPr="00AE58C7">
              <w:rPr>
                <w:i/>
                <w:iCs/>
                <w:sz w:val="16"/>
                <w:szCs w:val="16"/>
              </w:rPr>
              <w:t>Employment status (Ref: working)</w:t>
            </w:r>
          </w:p>
        </w:tc>
        <w:tc>
          <w:tcPr>
            <w:tcW w:w="1571" w:type="dxa"/>
            <w:vAlign w:val="center"/>
          </w:tcPr>
          <w:p w14:paraId="5A7EFB01" w14:textId="77777777" w:rsidR="00A94A10" w:rsidRPr="00AE58C7" w:rsidRDefault="00A94A10" w:rsidP="00BE68EC">
            <w:pPr>
              <w:jc w:val="center"/>
              <w:rPr>
                <w:sz w:val="16"/>
                <w:szCs w:val="16"/>
              </w:rPr>
            </w:pPr>
          </w:p>
        </w:tc>
        <w:tc>
          <w:tcPr>
            <w:tcW w:w="1572" w:type="dxa"/>
            <w:gridSpan w:val="2"/>
            <w:tcBorders>
              <w:right w:val="single" w:sz="4" w:space="0" w:color="auto"/>
            </w:tcBorders>
            <w:vAlign w:val="center"/>
          </w:tcPr>
          <w:p w14:paraId="54703DF6" w14:textId="77777777" w:rsidR="00A94A10" w:rsidRPr="00AE58C7" w:rsidRDefault="00A94A10" w:rsidP="00BE68EC">
            <w:pPr>
              <w:jc w:val="center"/>
              <w:rPr>
                <w:sz w:val="16"/>
                <w:szCs w:val="16"/>
              </w:rPr>
            </w:pPr>
          </w:p>
        </w:tc>
        <w:tc>
          <w:tcPr>
            <w:tcW w:w="1571" w:type="dxa"/>
            <w:tcBorders>
              <w:left w:val="single" w:sz="4" w:space="0" w:color="auto"/>
            </w:tcBorders>
          </w:tcPr>
          <w:p w14:paraId="7105F615" w14:textId="77777777" w:rsidR="00A94A10" w:rsidRPr="00AE58C7" w:rsidRDefault="00A94A10" w:rsidP="00BE68EC">
            <w:pPr>
              <w:jc w:val="center"/>
              <w:rPr>
                <w:sz w:val="16"/>
                <w:szCs w:val="16"/>
              </w:rPr>
            </w:pPr>
          </w:p>
        </w:tc>
        <w:tc>
          <w:tcPr>
            <w:tcW w:w="1572" w:type="dxa"/>
          </w:tcPr>
          <w:p w14:paraId="0CBE7D2B" w14:textId="77777777" w:rsidR="00A94A10" w:rsidRPr="00AE58C7" w:rsidRDefault="00A94A10" w:rsidP="00BE68EC">
            <w:pPr>
              <w:jc w:val="center"/>
              <w:rPr>
                <w:sz w:val="16"/>
                <w:szCs w:val="16"/>
              </w:rPr>
            </w:pPr>
          </w:p>
        </w:tc>
      </w:tr>
      <w:tr w:rsidR="00A94A10" w:rsidRPr="00AE58C7" w14:paraId="23D4EC4E" w14:textId="77777777" w:rsidTr="00BE68EC">
        <w:tc>
          <w:tcPr>
            <w:tcW w:w="2740" w:type="dxa"/>
            <w:vAlign w:val="center"/>
          </w:tcPr>
          <w:p w14:paraId="2D343F96" w14:textId="77777777" w:rsidR="00A94A10" w:rsidRPr="00AE58C7" w:rsidRDefault="00A94A10" w:rsidP="00BE68EC">
            <w:pPr>
              <w:rPr>
                <w:b/>
                <w:bCs/>
                <w:sz w:val="16"/>
                <w:szCs w:val="16"/>
              </w:rPr>
            </w:pPr>
            <w:r w:rsidRPr="00AE58C7">
              <w:rPr>
                <w:sz w:val="16"/>
                <w:szCs w:val="16"/>
              </w:rPr>
              <w:t xml:space="preserve"> Unemployed</w:t>
            </w:r>
          </w:p>
        </w:tc>
        <w:tc>
          <w:tcPr>
            <w:tcW w:w="1571" w:type="dxa"/>
            <w:vAlign w:val="center"/>
          </w:tcPr>
          <w:p w14:paraId="4878287F" w14:textId="38C576E4" w:rsidR="00A94A10" w:rsidRPr="00AE58C7" w:rsidRDefault="00A94A10" w:rsidP="00BE68EC">
            <w:pPr>
              <w:jc w:val="center"/>
              <w:rPr>
                <w:sz w:val="16"/>
                <w:szCs w:val="16"/>
              </w:rPr>
            </w:pPr>
            <w:r w:rsidRPr="00AE58C7">
              <w:rPr>
                <w:sz w:val="16"/>
                <w:szCs w:val="16"/>
              </w:rPr>
              <w:t>0.06</w:t>
            </w:r>
            <w:r w:rsidR="00CD42E5">
              <w:rPr>
                <w:sz w:val="16"/>
                <w:szCs w:val="16"/>
              </w:rPr>
              <w:t>4</w:t>
            </w:r>
            <w:r w:rsidRPr="00AE58C7">
              <w:rPr>
                <w:sz w:val="16"/>
                <w:szCs w:val="16"/>
              </w:rPr>
              <w:t>**</w:t>
            </w:r>
          </w:p>
          <w:p w14:paraId="44B67A29" w14:textId="77777777" w:rsidR="00A94A10" w:rsidRPr="00AE58C7" w:rsidRDefault="00A94A10" w:rsidP="00BE68EC">
            <w:pPr>
              <w:jc w:val="center"/>
              <w:rPr>
                <w:sz w:val="16"/>
                <w:szCs w:val="16"/>
              </w:rPr>
            </w:pPr>
            <w:r w:rsidRPr="00AE58C7">
              <w:rPr>
                <w:sz w:val="16"/>
                <w:szCs w:val="16"/>
              </w:rPr>
              <w:t>(0.024)</w:t>
            </w:r>
          </w:p>
        </w:tc>
        <w:tc>
          <w:tcPr>
            <w:tcW w:w="1572" w:type="dxa"/>
            <w:gridSpan w:val="2"/>
            <w:tcBorders>
              <w:right w:val="single" w:sz="4" w:space="0" w:color="auto"/>
            </w:tcBorders>
            <w:vAlign w:val="center"/>
          </w:tcPr>
          <w:p w14:paraId="2779518F" w14:textId="0A7B480A" w:rsidR="00A94A10" w:rsidRPr="00AE58C7" w:rsidRDefault="00A94A10" w:rsidP="00BE68EC">
            <w:pPr>
              <w:jc w:val="center"/>
              <w:rPr>
                <w:sz w:val="16"/>
                <w:szCs w:val="16"/>
              </w:rPr>
            </w:pPr>
            <w:r w:rsidRPr="00AE58C7">
              <w:rPr>
                <w:sz w:val="16"/>
                <w:szCs w:val="16"/>
              </w:rPr>
              <w:t>0.07</w:t>
            </w:r>
            <w:r w:rsidR="00E97FCB">
              <w:rPr>
                <w:sz w:val="16"/>
                <w:szCs w:val="16"/>
              </w:rPr>
              <w:t>3</w:t>
            </w:r>
            <w:r w:rsidRPr="00AE58C7">
              <w:rPr>
                <w:sz w:val="16"/>
                <w:szCs w:val="16"/>
              </w:rPr>
              <w:t>**</w:t>
            </w:r>
          </w:p>
          <w:p w14:paraId="743AAC8B" w14:textId="77777777" w:rsidR="00A94A10" w:rsidRPr="00AE58C7" w:rsidRDefault="00A94A10" w:rsidP="00BE68EC">
            <w:pPr>
              <w:jc w:val="center"/>
              <w:rPr>
                <w:sz w:val="16"/>
                <w:szCs w:val="16"/>
              </w:rPr>
            </w:pPr>
            <w:r w:rsidRPr="00AE58C7">
              <w:rPr>
                <w:sz w:val="16"/>
                <w:szCs w:val="16"/>
              </w:rPr>
              <w:t>(0.023)</w:t>
            </w:r>
          </w:p>
        </w:tc>
        <w:tc>
          <w:tcPr>
            <w:tcW w:w="1571" w:type="dxa"/>
            <w:tcBorders>
              <w:left w:val="single" w:sz="4" w:space="0" w:color="auto"/>
            </w:tcBorders>
          </w:tcPr>
          <w:p w14:paraId="09FA4949" w14:textId="77777777" w:rsidR="00A94A10" w:rsidRDefault="00A94A10" w:rsidP="00BE68EC">
            <w:pPr>
              <w:jc w:val="center"/>
              <w:rPr>
                <w:sz w:val="16"/>
                <w:szCs w:val="16"/>
              </w:rPr>
            </w:pPr>
            <w:r>
              <w:rPr>
                <w:sz w:val="16"/>
                <w:szCs w:val="16"/>
              </w:rPr>
              <w:t>-0.084**</w:t>
            </w:r>
          </w:p>
          <w:p w14:paraId="61DA2180" w14:textId="77777777" w:rsidR="00A94A10" w:rsidRPr="00AE58C7" w:rsidRDefault="00A94A10" w:rsidP="00BE68EC">
            <w:pPr>
              <w:jc w:val="center"/>
              <w:rPr>
                <w:sz w:val="16"/>
                <w:szCs w:val="16"/>
              </w:rPr>
            </w:pPr>
            <w:r>
              <w:rPr>
                <w:sz w:val="16"/>
                <w:szCs w:val="16"/>
              </w:rPr>
              <w:t>(0.027)</w:t>
            </w:r>
          </w:p>
        </w:tc>
        <w:tc>
          <w:tcPr>
            <w:tcW w:w="1572" w:type="dxa"/>
          </w:tcPr>
          <w:p w14:paraId="08441D3F" w14:textId="77777777" w:rsidR="00A94A10" w:rsidRDefault="00A94A10" w:rsidP="00BE68EC">
            <w:pPr>
              <w:jc w:val="center"/>
              <w:rPr>
                <w:sz w:val="16"/>
                <w:szCs w:val="16"/>
              </w:rPr>
            </w:pPr>
            <w:r>
              <w:rPr>
                <w:sz w:val="16"/>
                <w:szCs w:val="16"/>
              </w:rPr>
              <w:t>-0.086**</w:t>
            </w:r>
          </w:p>
          <w:p w14:paraId="3822A306" w14:textId="77777777" w:rsidR="00A94A10" w:rsidRPr="00AE58C7" w:rsidRDefault="00A94A10" w:rsidP="00BE68EC">
            <w:pPr>
              <w:jc w:val="center"/>
              <w:rPr>
                <w:sz w:val="16"/>
                <w:szCs w:val="16"/>
              </w:rPr>
            </w:pPr>
            <w:r>
              <w:rPr>
                <w:sz w:val="16"/>
                <w:szCs w:val="16"/>
              </w:rPr>
              <w:t>(0.026)</w:t>
            </w:r>
          </w:p>
        </w:tc>
      </w:tr>
      <w:tr w:rsidR="00A94A10" w:rsidRPr="00AE58C7" w14:paraId="08D4632B" w14:textId="77777777" w:rsidTr="00BE68EC">
        <w:tc>
          <w:tcPr>
            <w:tcW w:w="2740" w:type="dxa"/>
            <w:vAlign w:val="center"/>
          </w:tcPr>
          <w:p w14:paraId="3A7A3EFC" w14:textId="77777777" w:rsidR="00A94A10" w:rsidRPr="00AE58C7" w:rsidRDefault="00A94A10" w:rsidP="00BE68EC">
            <w:pPr>
              <w:rPr>
                <w:b/>
                <w:bCs/>
                <w:sz w:val="16"/>
                <w:szCs w:val="16"/>
              </w:rPr>
            </w:pPr>
            <w:r w:rsidRPr="00AE58C7">
              <w:rPr>
                <w:sz w:val="16"/>
                <w:szCs w:val="16"/>
              </w:rPr>
              <w:t xml:space="preserve"> Student</w:t>
            </w:r>
          </w:p>
        </w:tc>
        <w:tc>
          <w:tcPr>
            <w:tcW w:w="1571" w:type="dxa"/>
            <w:vAlign w:val="center"/>
          </w:tcPr>
          <w:p w14:paraId="7ECF0A6E" w14:textId="77777777" w:rsidR="00A94A10" w:rsidRPr="00AE58C7" w:rsidRDefault="00A94A10" w:rsidP="00BE68EC">
            <w:pPr>
              <w:jc w:val="center"/>
              <w:rPr>
                <w:sz w:val="16"/>
                <w:szCs w:val="16"/>
              </w:rPr>
            </w:pPr>
            <w:r w:rsidRPr="00AE58C7">
              <w:rPr>
                <w:sz w:val="16"/>
                <w:szCs w:val="16"/>
              </w:rPr>
              <w:t>0.018</w:t>
            </w:r>
          </w:p>
          <w:p w14:paraId="67D029B3" w14:textId="77777777" w:rsidR="00A94A10" w:rsidRPr="00AE58C7" w:rsidRDefault="00A94A10" w:rsidP="00BE68EC">
            <w:pPr>
              <w:jc w:val="center"/>
              <w:rPr>
                <w:sz w:val="16"/>
                <w:szCs w:val="16"/>
              </w:rPr>
            </w:pPr>
            <w:r w:rsidRPr="00AE58C7">
              <w:rPr>
                <w:sz w:val="16"/>
                <w:szCs w:val="16"/>
              </w:rPr>
              <w:t>(0.019)</w:t>
            </w:r>
          </w:p>
        </w:tc>
        <w:tc>
          <w:tcPr>
            <w:tcW w:w="1572" w:type="dxa"/>
            <w:gridSpan w:val="2"/>
            <w:tcBorders>
              <w:right w:val="single" w:sz="4" w:space="0" w:color="auto"/>
            </w:tcBorders>
            <w:vAlign w:val="center"/>
          </w:tcPr>
          <w:p w14:paraId="37DCAF17" w14:textId="77777777" w:rsidR="00A94A10" w:rsidRPr="00AE58C7" w:rsidRDefault="00A94A10" w:rsidP="00BE68EC">
            <w:pPr>
              <w:jc w:val="center"/>
              <w:rPr>
                <w:sz w:val="16"/>
                <w:szCs w:val="16"/>
              </w:rPr>
            </w:pPr>
            <w:r w:rsidRPr="00AE58C7">
              <w:rPr>
                <w:sz w:val="16"/>
                <w:szCs w:val="16"/>
              </w:rPr>
              <w:t>0.029</w:t>
            </w:r>
          </w:p>
          <w:p w14:paraId="2835D0E3" w14:textId="77777777" w:rsidR="00A94A10" w:rsidRPr="00AE58C7" w:rsidRDefault="00A94A10" w:rsidP="00BE68EC">
            <w:pPr>
              <w:jc w:val="center"/>
              <w:rPr>
                <w:sz w:val="16"/>
                <w:szCs w:val="16"/>
              </w:rPr>
            </w:pPr>
            <w:r w:rsidRPr="00AE58C7">
              <w:rPr>
                <w:sz w:val="16"/>
                <w:szCs w:val="16"/>
              </w:rPr>
              <w:t>(0.020)</w:t>
            </w:r>
          </w:p>
        </w:tc>
        <w:tc>
          <w:tcPr>
            <w:tcW w:w="1571" w:type="dxa"/>
            <w:tcBorders>
              <w:left w:val="single" w:sz="4" w:space="0" w:color="auto"/>
            </w:tcBorders>
          </w:tcPr>
          <w:p w14:paraId="339B4B8A" w14:textId="77777777" w:rsidR="00A94A10" w:rsidRDefault="00A94A10" w:rsidP="00BE68EC">
            <w:pPr>
              <w:jc w:val="center"/>
              <w:rPr>
                <w:sz w:val="16"/>
                <w:szCs w:val="16"/>
              </w:rPr>
            </w:pPr>
            <w:r>
              <w:rPr>
                <w:sz w:val="16"/>
                <w:szCs w:val="16"/>
              </w:rPr>
              <w:t>-0.010</w:t>
            </w:r>
          </w:p>
          <w:p w14:paraId="67ADB403" w14:textId="77777777" w:rsidR="00A94A10" w:rsidRPr="00AE58C7" w:rsidRDefault="00A94A10" w:rsidP="00BE68EC">
            <w:pPr>
              <w:jc w:val="center"/>
              <w:rPr>
                <w:sz w:val="16"/>
                <w:szCs w:val="16"/>
              </w:rPr>
            </w:pPr>
            <w:r>
              <w:rPr>
                <w:sz w:val="16"/>
                <w:szCs w:val="16"/>
              </w:rPr>
              <w:t>(0.021)</w:t>
            </w:r>
          </w:p>
        </w:tc>
        <w:tc>
          <w:tcPr>
            <w:tcW w:w="1572" w:type="dxa"/>
          </w:tcPr>
          <w:p w14:paraId="0DDFD0DA" w14:textId="77777777" w:rsidR="00A94A10" w:rsidRDefault="00A94A10" w:rsidP="00BE68EC">
            <w:pPr>
              <w:jc w:val="center"/>
              <w:rPr>
                <w:sz w:val="16"/>
                <w:szCs w:val="16"/>
              </w:rPr>
            </w:pPr>
            <w:r>
              <w:rPr>
                <w:sz w:val="16"/>
                <w:szCs w:val="16"/>
              </w:rPr>
              <w:t>-0.015</w:t>
            </w:r>
          </w:p>
          <w:p w14:paraId="5E5BF50A" w14:textId="77777777" w:rsidR="00A94A10" w:rsidRPr="00AE58C7" w:rsidRDefault="00A94A10" w:rsidP="00BE68EC">
            <w:pPr>
              <w:jc w:val="center"/>
              <w:rPr>
                <w:sz w:val="16"/>
                <w:szCs w:val="16"/>
              </w:rPr>
            </w:pPr>
            <w:r>
              <w:rPr>
                <w:sz w:val="16"/>
                <w:szCs w:val="16"/>
              </w:rPr>
              <w:t>(0.021)</w:t>
            </w:r>
          </w:p>
        </w:tc>
      </w:tr>
      <w:tr w:rsidR="00A94A10" w:rsidRPr="00AE58C7" w14:paraId="462A929D" w14:textId="77777777" w:rsidTr="00BE68EC">
        <w:tc>
          <w:tcPr>
            <w:tcW w:w="2740" w:type="dxa"/>
            <w:vAlign w:val="center"/>
          </w:tcPr>
          <w:p w14:paraId="56ED16A0" w14:textId="77777777" w:rsidR="00A94A10" w:rsidRPr="00AE58C7" w:rsidRDefault="00A94A10" w:rsidP="00BE68EC">
            <w:pPr>
              <w:rPr>
                <w:b/>
                <w:bCs/>
                <w:sz w:val="16"/>
                <w:szCs w:val="16"/>
              </w:rPr>
            </w:pPr>
            <w:r w:rsidRPr="00AE58C7">
              <w:rPr>
                <w:sz w:val="16"/>
                <w:szCs w:val="16"/>
              </w:rPr>
              <w:t xml:space="preserve"> Retired</w:t>
            </w:r>
          </w:p>
        </w:tc>
        <w:tc>
          <w:tcPr>
            <w:tcW w:w="1571" w:type="dxa"/>
            <w:vAlign w:val="center"/>
          </w:tcPr>
          <w:p w14:paraId="6089E631" w14:textId="77777777" w:rsidR="00A94A10" w:rsidRPr="00AE58C7" w:rsidRDefault="00A94A10" w:rsidP="00BE68EC">
            <w:pPr>
              <w:jc w:val="center"/>
              <w:rPr>
                <w:sz w:val="16"/>
                <w:szCs w:val="16"/>
              </w:rPr>
            </w:pPr>
            <w:r w:rsidRPr="00AE58C7">
              <w:rPr>
                <w:sz w:val="16"/>
                <w:szCs w:val="16"/>
              </w:rPr>
              <w:t>0.009</w:t>
            </w:r>
          </w:p>
          <w:p w14:paraId="2550DF7C" w14:textId="77777777" w:rsidR="00A94A10" w:rsidRPr="00AE58C7" w:rsidRDefault="00A94A10" w:rsidP="00BE68EC">
            <w:pPr>
              <w:jc w:val="center"/>
              <w:rPr>
                <w:sz w:val="16"/>
                <w:szCs w:val="16"/>
              </w:rPr>
            </w:pPr>
            <w:r w:rsidRPr="00AE58C7">
              <w:rPr>
                <w:sz w:val="16"/>
                <w:szCs w:val="16"/>
              </w:rPr>
              <w:t>(0.020)</w:t>
            </w:r>
          </w:p>
        </w:tc>
        <w:tc>
          <w:tcPr>
            <w:tcW w:w="1572" w:type="dxa"/>
            <w:gridSpan w:val="2"/>
            <w:tcBorders>
              <w:right w:val="single" w:sz="4" w:space="0" w:color="auto"/>
            </w:tcBorders>
            <w:vAlign w:val="center"/>
          </w:tcPr>
          <w:p w14:paraId="2A9A714A" w14:textId="02296E10" w:rsidR="00A94A10" w:rsidRPr="00AE58C7" w:rsidRDefault="00A94A10" w:rsidP="00BE68EC">
            <w:pPr>
              <w:jc w:val="center"/>
              <w:rPr>
                <w:sz w:val="16"/>
                <w:szCs w:val="16"/>
              </w:rPr>
            </w:pPr>
            <w:r w:rsidRPr="00AE58C7">
              <w:rPr>
                <w:sz w:val="16"/>
                <w:szCs w:val="16"/>
              </w:rPr>
              <w:t>0.000</w:t>
            </w:r>
            <w:r w:rsidR="00E97FCB">
              <w:rPr>
                <w:sz w:val="16"/>
                <w:szCs w:val="16"/>
              </w:rPr>
              <w:t>0</w:t>
            </w:r>
            <w:r w:rsidRPr="00AE58C7">
              <w:rPr>
                <w:sz w:val="16"/>
                <w:szCs w:val="16"/>
              </w:rPr>
              <w:t>2</w:t>
            </w:r>
          </w:p>
          <w:p w14:paraId="01F8E42D" w14:textId="77777777" w:rsidR="00A94A10" w:rsidRPr="00AE58C7" w:rsidRDefault="00A94A10" w:rsidP="00BE68EC">
            <w:pPr>
              <w:jc w:val="center"/>
              <w:rPr>
                <w:sz w:val="16"/>
                <w:szCs w:val="16"/>
              </w:rPr>
            </w:pPr>
            <w:r w:rsidRPr="00AE58C7">
              <w:rPr>
                <w:sz w:val="16"/>
                <w:szCs w:val="16"/>
              </w:rPr>
              <w:t>(0.020)</w:t>
            </w:r>
          </w:p>
        </w:tc>
        <w:tc>
          <w:tcPr>
            <w:tcW w:w="1571" w:type="dxa"/>
            <w:tcBorders>
              <w:left w:val="single" w:sz="4" w:space="0" w:color="auto"/>
            </w:tcBorders>
          </w:tcPr>
          <w:p w14:paraId="44563FFB" w14:textId="77777777" w:rsidR="00A94A10" w:rsidRDefault="00A94A10" w:rsidP="00BE68EC">
            <w:pPr>
              <w:jc w:val="center"/>
              <w:rPr>
                <w:sz w:val="16"/>
                <w:szCs w:val="16"/>
              </w:rPr>
            </w:pPr>
            <w:r>
              <w:rPr>
                <w:sz w:val="16"/>
                <w:szCs w:val="16"/>
              </w:rPr>
              <w:t>-0.028</w:t>
            </w:r>
          </w:p>
          <w:p w14:paraId="3BE14B6A" w14:textId="77777777" w:rsidR="00A94A10" w:rsidRPr="00AE58C7" w:rsidRDefault="00A94A10" w:rsidP="00BE68EC">
            <w:pPr>
              <w:jc w:val="center"/>
              <w:rPr>
                <w:sz w:val="16"/>
                <w:szCs w:val="16"/>
              </w:rPr>
            </w:pPr>
            <w:r>
              <w:rPr>
                <w:sz w:val="16"/>
                <w:szCs w:val="16"/>
              </w:rPr>
              <w:t>(0.018)</w:t>
            </w:r>
          </w:p>
        </w:tc>
        <w:tc>
          <w:tcPr>
            <w:tcW w:w="1572" w:type="dxa"/>
          </w:tcPr>
          <w:p w14:paraId="4D16FA13" w14:textId="77777777" w:rsidR="00A94A10" w:rsidRDefault="00A94A10" w:rsidP="00BE68EC">
            <w:pPr>
              <w:jc w:val="center"/>
              <w:rPr>
                <w:sz w:val="16"/>
                <w:szCs w:val="16"/>
              </w:rPr>
            </w:pPr>
            <w:r>
              <w:rPr>
                <w:sz w:val="16"/>
                <w:szCs w:val="16"/>
              </w:rPr>
              <w:t>-0.025</w:t>
            </w:r>
          </w:p>
          <w:p w14:paraId="05847935" w14:textId="77777777" w:rsidR="00A94A10" w:rsidRPr="00AE58C7" w:rsidRDefault="00A94A10" w:rsidP="00BE68EC">
            <w:pPr>
              <w:jc w:val="center"/>
              <w:rPr>
                <w:sz w:val="16"/>
                <w:szCs w:val="16"/>
              </w:rPr>
            </w:pPr>
            <w:r>
              <w:rPr>
                <w:sz w:val="16"/>
                <w:szCs w:val="16"/>
              </w:rPr>
              <w:t>(0.017)</w:t>
            </w:r>
          </w:p>
        </w:tc>
      </w:tr>
      <w:tr w:rsidR="00A94A10" w:rsidRPr="00AE58C7" w14:paraId="7C02D1F3" w14:textId="77777777" w:rsidTr="00BE68EC">
        <w:tc>
          <w:tcPr>
            <w:tcW w:w="2740" w:type="dxa"/>
            <w:vAlign w:val="center"/>
          </w:tcPr>
          <w:p w14:paraId="6A4758E4" w14:textId="77777777" w:rsidR="00A94A10" w:rsidRPr="00AE58C7" w:rsidRDefault="00A94A10" w:rsidP="00BE68EC">
            <w:pPr>
              <w:rPr>
                <w:b/>
                <w:bCs/>
                <w:sz w:val="16"/>
                <w:szCs w:val="16"/>
              </w:rPr>
            </w:pPr>
            <w:r w:rsidRPr="00AE58C7">
              <w:rPr>
                <w:sz w:val="16"/>
                <w:szCs w:val="16"/>
              </w:rPr>
              <w:t xml:space="preserve"> Looking after the home/other</w:t>
            </w:r>
          </w:p>
        </w:tc>
        <w:tc>
          <w:tcPr>
            <w:tcW w:w="1571" w:type="dxa"/>
            <w:vAlign w:val="center"/>
          </w:tcPr>
          <w:p w14:paraId="4E2A0416" w14:textId="77777777" w:rsidR="00A94A10" w:rsidRPr="00AE58C7" w:rsidRDefault="00A94A10" w:rsidP="00BE68EC">
            <w:pPr>
              <w:jc w:val="center"/>
              <w:rPr>
                <w:sz w:val="16"/>
                <w:szCs w:val="16"/>
              </w:rPr>
            </w:pPr>
            <w:r w:rsidRPr="00AE58C7">
              <w:rPr>
                <w:sz w:val="16"/>
                <w:szCs w:val="16"/>
              </w:rPr>
              <w:t>0.046**</w:t>
            </w:r>
          </w:p>
          <w:p w14:paraId="3CEB90FD" w14:textId="77777777" w:rsidR="00A94A10" w:rsidRPr="00AE58C7" w:rsidRDefault="00A94A10" w:rsidP="00BE68EC">
            <w:pPr>
              <w:jc w:val="center"/>
              <w:rPr>
                <w:sz w:val="16"/>
                <w:szCs w:val="16"/>
              </w:rPr>
            </w:pPr>
            <w:r w:rsidRPr="00AE58C7">
              <w:rPr>
                <w:sz w:val="16"/>
                <w:szCs w:val="16"/>
              </w:rPr>
              <w:t>(0.015)</w:t>
            </w:r>
          </w:p>
        </w:tc>
        <w:tc>
          <w:tcPr>
            <w:tcW w:w="1572" w:type="dxa"/>
            <w:gridSpan w:val="2"/>
            <w:tcBorders>
              <w:right w:val="single" w:sz="4" w:space="0" w:color="auto"/>
            </w:tcBorders>
            <w:vAlign w:val="center"/>
          </w:tcPr>
          <w:p w14:paraId="34262150" w14:textId="77777777" w:rsidR="00A94A10" w:rsidRPr="00AE58C7" w:rsidRDefault="00A94A10" w:rsidP="00BE68EC">
            <w:pPr>
              <w:jc w:val="center"/>
              <w:rPr>
                <w:sz w:val="16"/>
                <w:szCs w:val="16"/>
              </w:rPr>
            </w:pPr>
            <w:r w:rsidRPr="00AE58C7">
              <w:rPr>
                <w:sz w:val="16"/>
                <w:szCs w:val="16"/>
              </w:rPr>
              <w:t>0.039**</w:t>
            </w:r>
          </w:p>
          <w:p w14:paraId="35D8C704" w14:textId="77777777" w:rsidR="00A94A10" w:rsidRPr="00AE58C7" w:rsidRDefault="00A94A10" w:rsidP="00BE68EC">
            <w:pPr>
              <w:jc w:val="center"/>
              <w:rPr>
                <w:sz w:val="16"/>
                <w:szCs w:val="16"/>
              </w:rPr>
            </w:pPr>
            <w:r w:rsidRPr="00AE58C7">
              <w:rPr>
                <w:sz w:val="16"/>
                <w:szCs w:val="16"/>
              </w:rPr>
              <w:t>(0.014)</w:t>
            </w:r>
          </w:p>
        </w:tc>
        <w:tc>
          <w:tcPr>
            <w:tcW w:w="1571" w:type="dxa"/>
            <w:tcBorders>
              <w:left w:val="single" w:sz="4" w:space="0" w:color="auto"/>
            </w:tcBorders>
          </w:tcPr>
          <w:p w14:paraId="5857ACD5" w14:textId="77777777" w:rsidR="00A94A10" w:rsidRDefault="00A94A10" w:rsidP="00BE68EC">
            <w:pPr>
              <w:jc w:val="center"/>
              <w:rPr>
                <w:sz w:val="16"/>
                <w:szCs w:val="16"/>
              </w:rPr>
            </w:pPr>
            <w:r>
              <w:rPr>
                <w:sz w:val="16"/>
                <w:szCs w:val="16"/>
              </w:rPr>
              <w:t>-0.073***</w:t>
            </w:r>
          </w:p>
          <w:p w14:paraId="368E530D" w14:textId="77777777" w:rsidR="00A94A10" w:rsidRPr="00AE58C7" w:rsidRDefault="00A94A10" w:rsidP="00BE68EC">
            <w:pPr>
              <w:jc w:val="center"/>
              <w:rPr>
                <w:sz w:val="16"/>
                <w:szCs w:val="16"/>
              </w:rPr>
            </w:pPr>
            <w:r>
              <w:rPr>
                <w:sz w:val="16"/>
                <w:szCs w:val="16"/>
              </w:rPr>
              <w:t>(0.016)</w:t>
            </w:r>
          </w:p>
        </w:tc>
        <w:tc>
          <w:tcPr>
            <w:tcW w:w="1572" w:type="dxa"/>
          </w:tcPr>
          <w:p w14:paraId="0D14F43D" w14:textId="77777777" w:rsidR="00A94A10" w:rsidRDefault="00A94A10" w:rsidP="00BE68EC">
            <w:pPr>
              <w:jc w:val="center"/>
              <w:rPr>
                <w:sz w:val="16"/>
                <w:szCs w:val="16"/>
              </w:rPr>
            </w:pPr>
            <w:r>
              <w:rPr>
                <w:sz w:val="16"/>
                <w:szCs w:val="16"/>
              </w:rPr>
              <w:t>-0.068***</w:t>
            </w:r>
          </w:p>
          <w:p w14:paraId="77EA8BD1" w14:textId="77777777" w:rsidR="00A94A10" w:rsidRPr="00AE58C7" w:rsidRDefault="00A94A10" w:rsidP="00BE68EC">
            <w:pPr>
              <w:jc w:val="center"/>
              <w:rPr>
                <w:sz w:val="16"/>
                <w:szCs w:val="16"/>
              </w:rPr>
            </w:pPr>
            <w:r>
              <w:rPr>
                <w:sz w:val="16"/>
                <w:szCs w:val="16"/>
              </w:rPr>
              <w:t>(0.016)</w:t>
            </w:r>
          </w:p>
        </w:tc>
      </w:tr>
      <w:tr w:rsidR="00A94A10" w:rsidRPr="00AE58C7" w14:paraId="657AE359" w14:textId="77777777" w:rsidTr="00BE68EC">
        <w:tc>
          <w:tcPr>
            <w:tcW w:w="2740" w:type="dxa"/>
            <w:vAlign w:val="center"/>
          </w:tcPr>
          <w:p w14:paraId="133D4F64" w14:textId="77777777" w:rsidR="00A94A10" w:rsidRPr="00AE58C7" w:rsidRDefault="00A94A10" w:rsidP="00BE68EC">
            <w:pPr>
              <w:rPr>
                <w:b/>
                <w:bCs/>
                <w:sz w:val="16"/>
                <w:szCs w:val="16"/>
              </w:rPr>
            </w:pPr>
            <w:r w:rsidRPr="00AE58C7">
              <w:rPr>
                <w:i/>
                <w:iCs/>
                <w:sz w:val="16"/>
                <w:szCs w:val="16"/>
              </w:rPr>
              <w:t>Region (Ref: Dublin)</w:t>
            </w:r>
          </w:p>
        </w:tc>
        <w:tc>
          <w:tcPr>
            <w:tcW w:w="1571" w:type="dxa"/>
            <w:vAlign w:val="center"/>
          </w:tcPr>
          <w:p w14:paraId="321B6966" w14:textId="77777777" w:rsidR="00A94A10" w:rsidRPr="00AE58C7" w:rsidRDefault="00A94A10" w:rsidP="00BE68EC">
            <w:pPr>
              <w:jc w:val="center"/>
              <w:rPr>
                <w:sz w:val="16"/>
                <w:szCs w:val="16"/>
              </w:rPr>
            </w:pPr>
          </w:p>
        </w:tc>
        <w:tc>
          <w:tcPr>
            <w:tcW w:w="1572" w:type="dxa"/>
            <w:gridSpan w:val="2"/>
            <w:tcBorders>
              <w:right w:val="single" w:sz="4" w:space="0" w:color="auto"/>
            </w:tcBorders>
            <w:vAlign w:val="center"/>
          </w:tcPr>
          <w:p w14:paraId="60A73F20" w14:textId="77777777" w:rsidR="00A94A10" w:rsidRPr="00AE58C7" w:rsidRDefault="00A94A10" w:rsidP="00BE68EC">
            <w:pPr>
              <w:jc w:val="center"/>
              <w:rPr>
                <w:sz w:val="16"/>
                <w:szCs w:val="16"/>
              </w:rPr>
            </w:pPr>
          </w:p>
        </w:tc>
        <w:tc>
          <w:tcPr>
            <w:tcW w:w="1571" w:type="dxa"/>
            <w:tcBorders>
              <w:left w:val="single" w:sz="4" w:space="0" w:color="auto"/>
            </w:tcBorders>
          </w:tcPr>
          <w:p w14:paraId="0B2D9CFF" w14:textId="77777777" w:rsidR="00A94A10" w:rsidRPr="00AE58C7" w:rsidRDefault="00A94A10" w:rsidP="00BE68EC">
            <w:pPr>
              <w:jc w:val="center"/>
              <w:rPr>
                <w:sz w:val="16"/>
                <w:szCs w:val="16"/>
              </w:rPr>
            </w:pPr>
          </w:p>
        </w:tc>
        <w:tc>
          <w:tcPr>
            <w:tcW w:w="1572" w:type="dxa"/>
          </w:tcPr>
          <w:p w14:paraId="6FECAB77" w14:textId="77777777" w:rsidR="00A94A10" w:rsidRPr="00AE58C7" w:rsidRDefault="00A94A10" w:rsidP="00BE68EC">
            <w:pPr>
              <w:jc w:val="center"/>
              <w:rPr>
                <w:sz w:val="16"/>
                <w:szCs w:val="16"/>
              </w:rPr>
            </w:pPr>
          </w:p>
        </w:tc>
      </w:tr>
      <w:tr w:rsidR="00A94A10" w:rsidRPr="00AE58C7" w14:paraId="6DB810D8" w14:textId="77777777" w:rsidTr="00BE68EC">
        <w:tc>
          <w:tcPr>
            <w:tcW w:w="2740" w:type="dxa"/>
            <w:vAlign w:val="center"/>
          </w:tcPr>
          <w:p w14:paraId="3670B58F" w14:textId="77777777" w:rsidR="00A94A10" w:rsidRPr="00AE58C7" w:rsidRDefault="00A94A10" w:rsidP="00BE68EC">
            <w:pPr>
              <w:rPr>
                <w:b/>
                <w:bCs/>
                <w:sz w:val="16"/>
                <w:szCs w:val="16"/>
              </w:rPr>
            </w:pPr>
            <w:r w:rsidRPr="00AE58C7">
              <w:rPr>
                <w:sz w:val="16"/>
                <w:szCs w:val="16"/>
              </w:rPr>
              <w:t xml:space="preserve"> Rest of Leinster</w:t>
            </w:r>
          </w:p>
        </w:tc>
        <w:tc>
          <w:tcPr>
            <w:tcW w:w="1571" w:type="dxa"/>
            <w:vAlign w:val="center"/>
          </w:tcPr>
          <w:p w14:paraId="1CF1FBD4" w14:textId="77777777" w:rsidR="00A94A10" w:rsidRPr="00AE58C7" w:rsidRDefault="00A94A10" w:rsidP="00BE68EC">
            <w:pPr>
              <w:jc w:val="center"/>
              <w:rPr>
                <w:sz w:val="16"/>
                <w:szCs w:val="16"/>
              </w:rPr>
            </w:pPr>
            <w:r w:rsidRPr="00AE58C7">
              <w:rPr>
                <w:sz w:val="16"/>
                <w:szCs w:val="16"/>
              </w:rPr>
              <w:t>-0.004</w:t>
            </w:r>
          </w:p>
          <w:p w14:paraId="0A56B56E" w14:textId="77777777" w:rsidR="00A94A10" w:rsidRPr="00AE58C7" w:rsidRDefault="00A94A10" w:rsidP="00BE68EC">
            <w:pPr>
              <w:jc w:val="center"/>
              <w:rPr>
                <w:sz w:val="16"/>
                <w:szCs w:val="16"/>
              </w:rPr>
            </w:pPr>
            <w:r w:rsidRPr="00AE58C7">
              <w:rPr>
                <w:sz w:val="16"/>
                <w:szCs w:val="16"/>
              </w:rPr>
              <w:t>(0.011)</w:t>
            </w:r>
          </w:p>
        </w:tc>
        <w:tc>
          <w:tcPr>
            <w:tcW w:w="1572" w:type="dxa"/>
            <w:gridSpan w:val="2"/>
            <w:tcBorders>
              <w:right w:val="single" w:sz="4" w:space="0" w:color="auto"/>
            </w:tcBorders>
            <w:vAlign w:val="center"/>
          </w:tcPr>
          <w:p w14:paraId="3B7B0664" w14:textId="776C676E" w:rsidR="00A94A10" w:rsidRPr="00AE58C7" w:rsidRDefault="00A94A10" w:rsidP="00BE68EC">
            <w:pPr>
              <w:jc w:val="center"/>
              <w:rPr>
                <w:sz w:val="16"/>
                <w:szCs w:val="16"/>
              </w:rPr>
            </w:pPr>
            <w:r w:rsidRPr="00AE58C7">
              <w:rPr>
                <w:sz w:val="16"/>
                <w:szCs w:val="16"/>
              </w:rPr>
              <w:t>0.0001</w:t>
            </w:r>
          </w:p>
          <w:p w14:paraId="79B10477" w14:textId="77777777" w:rsidR="00A94A10" w:rsidRPr="00AE58C7" w:rsidRDefault="00A94A10" w:rsidP="00BE68EC">
            <w:pPr>
              <w:jc w:val="center"/>
              <w:rPr>
                <w:sz w:val="16"/>
                <w:szCs w:val="16"/>
              </w:rPr>
            </w:pPr>
            <w:r w:rsidRPr="00AE58C7">
              <w:rPr>
                <w:sz w:val="16"/>
                <w:szCs w:val="16"/>
              </w:rPr>
              <w:t>(0.011)</w:t>
            </w:r>
          </w:p>
        </w:tc>
        <w:tc>
          <w:tcPr>
            <w:tcW w:w="1571" w:type="dxa"/>
            <w:tcBorders>
              <w:left w:val="single" w:sz="4" w:space="0" w:color="auto"/>
            </w:tcBorders>
          </w:tcPr>
          <w:p w14:paraId="170536C7" w14:textId="77777777" w:rsidR="00A94A10" w:rsidRDefault="00A94A10" w:rsidP="00BE68EC">
            <w:pPr>
              <w:jc w:val="center"/>
              <w:rPr>
                <w:sz w:val="16"/>
                <w:szCs w:val="16"/>
                <w:vertAlign w:val="superscript"/>
              </w:rPr>
            </w:pPr>
            <w:r>
              <w:rPr>
                <w:sz w:val="16"/>
                <w:szCs w:val="16"/>
              </w:rPr>
              <w:t>-0.028</w:t>
            </w:r>
            <w:r>
              <w:rPr>
                <w:sz w:val="16"/>
                <w:szCs w:val="16"/>
                <w:vertAlign w:val="superscript"/>
              </w:rPr>
              <w:t>+</w:t>
            </w:r>
          </w:p>
          <w:p w14:paraId="3E133959" w14:textId="77777777" w:rsidR="00A94A10" w:rsidRPr="00E61D88" w:rsidRDefault="00A94A10" w:rsidP="00BE68EC">
            <w:pPr>
              <w:jc w:val="center"/>
              <w:rPr>
                <w:sz w:val="16"/>
                <w:szCs w:val="16"/>
              </w:rPr>
            </w:pPr>
            <w:r>
              <w:rPr>
                <w:sz w:val="16"/>
                <w:szCs w:val="16"/>
              </w:rPr>
              <w:t>(0.012)</w:t>
            </w:r>
          </w:p>
        </w:tc>
        <w:tc>
          <w:tcPr>
            <w:tcW w:w="1572" w:type="dxa"/>
          </w:tcPr>
          <w:p w14:paraId="028BE8FF" w14:textId="77777777" w:rsidR="00A94A10" w:rsidRDefault="00A94A10" w:rsidP="00BE68EC">
            <w:pPr>
              <w:jc w:val="center"/>
              <w:rPr>
                <w:sz w:val="16"/>
                <w:szCs w:val="16"/>
                <w:vertAlign w:val="superscript"/>
              </w:rPr>
            </w:pPr>
            <w:r>
              <w:rPr>
                <w:sz w:val="16"/>
                <w:szCs w:val="16"/>
              </w:rPr>
              <w:t>-0.031</w:t>
            </w:r>
            <w:r>
              <w:rPr>
                <w:sz w:val="16"/>
                <w:szCs w:val="16"/>
                <w:vertAlign w:val="superscript"/>
              </w:rPr>
              <w:t>+</w:t>
            </w:r>
          </w:p>
          <w:p w14:paraId="4C76340F" w14:textId="77777777" w:rsidR="00A94A10" w:rsidRPr="00AE58C7" w:rsidRDefault="00A94A10" w:rsidP="00BE68EC">
            <w:pPr>
              <w:jc w:val="center"/>
              <w:rPr>
                <w:sz w:val="16"/>
                <w:szCs w:val="16"/>
              </w:rPr>
            </w:pPr>
            <w:r>
              <w:rPr>
                <w:sz w:val="16"/>
                <w:szCs w:val="16"/>
              </w:rPr>
              <w:t>(0.011)</w:t>
            </w:r>
          </w:p>
        </w:tc>
      </w:tr>
      <w:tr w:rsidR="00A94A10" w:rsidRPr="00AE58C7" w14:paraId="75212C56" w14:textId="77777777" w:rsidTr="00BE68EC">
        <w:tc>
          <w:tcPr>
            <w:tcW w:w="2740" w:type="dxa"/>
            <w:vAlign w:val="center"/>
          </w:tcPr>
          <w:p w14:paraId="496B26CE" w14:textId="77777777" w:rsidR="00A94A10" w:rsidRPr="00AE58C7" w:rsidRDefault="00A94A10" w:rsidP="00BE68EC">
            <w:pPr>
              <w:rPr>
                <w:b/>
                <w:bCs/>
                <w:sz w:val="16"/>
                <w:szCs w:val="16"/>
              </w:rPr>
            </w:pPr>
            <w:r w:rsidRPr="00AE58C7">
              <w:rPr>
                <w:sz w:val="16"/>
                <w:szCs w:val="16"/>
              </w:rPr>
              <w:t xml:space="preserve"> Munster</w:t>
            </w:r>
          </w:p>
        </w:tc>
        <w:tc>
          <w:tcPr>
            <w:tcW w:w="1571" w:type="dxa"/>
            <w:vAlign w:val="center"/>
          </w:tcPr>
          <w:p w14:paraId="2EBC7BE3" w14:textId="77777777" w:rsidR="00A94A10" w:rsidRPr="00AE58C7" w:rsidRDefault="00A94A10" w:rsidP="00BE68EC">
            <w:pPr>
              <w:jc w:val="center"/>
              <w:rPr>
                <w:sz w:val="16"/>
                <w:szCs w:val="16"/>
              </w:rPr>
            </w:pPr>
            <w:r w:rsidRPr="00AE58C7">
              <w:rPr>
                <w:sz w:val="16"/>
                <w:szCs w:val="16"/>
              </w:rPr>
              <w:t>0.002</w:t>
            </w:r>
          </w:p>
          <w:p w14:paraId="0FE97F25" w14:textId="77777777" w:rsidR="00A94A10" w:rsidRPr="00AE58C7" w:rsidRDefault="00A94A10" w:rsidP="00BE68EC">
            <w:pPr>
              <w:jc w:val="center"/>
              <w:rPr>
                <w:sz w:val="16"/>
                <w:szCs w:val="16"/>
              </w:rPr>
            </w:pPr>
            <w:r w:rsidRPr="00AE58C7">
              <w:rPr>
                <w:sz w:val="16"/>
                <w:szCs w:val="16"/>
              </w:rPr>
              <w:t>(0.012)</w:t>
            </w:r>
          </w:p>
        </w:tc>
        <w:tc>
          <w:tcPr>
            <w:tcW w:w="1572" w:type="dxa"/>
            <w:gridSpan w:val="2"/>
            <w:tcBorders>
              <w:right w:val="single" w:sz="4" w:space="0" w:color="auto"/>
            </w:tcBorders>
            <w:vAlign w:val="center"/>
          </w:tcPr>
          <w:p w14:paraId="0BBF7374" w14:textId="77777777" w:rsidR="00A94A10" w:rsidRPr="00AE58C7" w:rsidRDefault="00A94A10" w:rsidP="00BE68EC">
            <w:pPr>
              <w:jc w:val="center"/>
              <w:rPr>
                <w:sz w:val="16"/>
                <w:szCs w:val="16"/>
              </w:rPr>
            </w:pPr>
            <w:r w:rsidRPr="00AE58C7">
              <w:rPr>
                <w:sz w:val="16"/>
                <w:szCs w:val="16"/>
              </w:rPr>
              <w:t>0.005</w:t>
            </w:r>
          </w:p>
          <w:p w14:paraId="4ABCE7C8" w14:textId="77777777" w:rsidR="00A94A10" w:rsidRPr="00AE58C7" w:rsidRDefault="00A94A10" w:rsidP="00BE68EC">
            <w:pPr>
              <w:jc w:val="center"/>
              <w:rPr>
                <w:sz w:val="16"/>
                <w:szCs w:val="16"/>
              </w:rPr>
            </w:pPr>
            <w:r w:rsidRPr="00AE58C7">
              <w:rPr>
                <w:sz w:val="16"/>
                <w:szCs w:val="16"/>
              </w:rPr>
              <w:t>(0.012)</w:t>
            </w:r>
          </w:p>
        </w:tc>
        <w:tc>
          <w:tcPr>
            <w:tcW w:w="1571" w:type="dxa"/>
            <w:tcBorders>
              <w:left w:val="single" w:sz="4" w:space="0" w:color="auto"/>
            </w:tcBorders>
          </w:tcPr>
          <w:p w14:paraId="4C14B7CD" w14:textId="77777777" w:rsidR="00A94A10" w:rsidRDefault="00A94A10" w:rsidP="00BE68EC">
            <w:pPr>
              <w:jc w:val="center"/>
              <w:rPr>
                <w:sz w:val="16"/>
                <w:szCs w:val="16"/>
              </w:rPr>
            </w:pPr>
            <w:r>
              <w:rPr>
                <w:sz w:val="16"/>
                <w:szCs w:val="16"/>
              </w:rPr>
              <w:t>-0.014</w:t>
            </w:r>
          </w:p>
          <w:p w14:paraId="51DC0CA3" w14:textId="77777777" w:rsidR="00A94A10" w:rsidRPr="00AE58C7" w:rsidRDefault="00A94A10" w:rsidP="00BE68EC">
            <w:pPr>
              <w:jc w:val="center"/>
              <w:rPr>
                <w:sz w:val="16"/>
                <w:szCs w:val="16"/>
              </w:rPr>
            </w:pPr>
            <w:r>
              <w:rPr>
                <w:sz w:val="16"/>
                <w:szCs w:val="16"/>
              </w:rPr>
              <w:t>(0.012)</w:t>
            </w:r>
          </w:p>
        </w:tc>
        <w:tc>
          <w:tcPr>
            <w:tcW w:w="1572" w:type="dxa"/>
          </w:tcPr>
          <w:p w14:paraId="01DDA8E7" w14:textId="77777777" w:rsidR="00A94A10" w:rsidRDefault="00A94A10" w:rsidP="00BE68EC">
            <w:pPr>
              <w:jc w:val="center"/>
              <w:rPr>
                <w:sz w:val="16"/>
                <w:szCs w:val="16"/>
              </w:rPr>
            </w:pPr>
            <w:r>
              <w:rPr>
                <w:sz w:val="16"/>
                <w:szCs w:val="16"/>
              </w:rPr>
              <w:t>-0.016</w:t>
            </w:r>
          </w:p>
          <w:p w14:paraId="2FA557AC" w14:textId="77777777" w:rsidR="00A94A10" w:rsidRPr="00AE58C7" w:rsidRDefault="00A94A10" w:rsidP="00BE68EC">
            <w:pPr>
              <w:jc w:val="center"/>
              <w:rPr>
                <w:sz w:val="16"/>
                <w:szCs w:val="16"/>
              </w:rPr>
            </w:pPr>
            <w:r>
              <w:rPr>
                <w:sz w:val="16"/>
                <w:szCs w:val="16"/>
              </w:rPr>
              <w:t>(0.011)</w:t>
            </w:r>
          </w:p>
        </w:tc>
      </w:tr>
      <w:tr w:rsidR="00A94A10" w:rsidRPr="00AE58C7" w14:paraId="2E816669" w14:textId="77777777" w:rsidTr="00BE68EC">
        <w:tc>
          <w:tcPr>
            <w:tcW w:w="2740" w:type="dxa"/>
            <w:vAlign w:val="center"/>
          </w:tcPr>
          <w:p w14:paraId="14AEE1B2" w14:textId="77777777" w:rsidR="00A94A10" w:rsidRPr="00AE58C7" w:rsidRDefault="00A94A10" w:rsidP="00BE68EC">
            <w:pPr>
              <w:rPr>
                <w:b/>
                <w:bCs/>
                <w:sz w:val="16"/>
                <w:szCs w:val="16"/>
              </w:rPr>
            </w:pPr>
            <w:r w:rsidRPr="00AE58C7">
              <w:rPr>
                <w:sz w:val="16"/>
                <w:szCs w:val="16"/>
              </w:rPr>
              <w:t xml:space="preserve"> Connaught/Ulster</w:t>
            </w:r>
          </w:p>
        </w:tc>
        <w:tc>
          <w:tcPr>
            <w:tcW w:w="1571" w:type="dxa"/>
            <w:vAlign w:val="center"/>
          </w:tcPr>
          <w:p w14:paraId="14152649" w14:textId="77777777" w:rsidR="00A94A10" w:rsidRPr="00AE58C7" w:rsidRDefault="00A94A10" w:rsidP="00BE68EC">
            <w:pPr>
              <w:jc w:val="center"/>
              <w:rPr>
                <w:sz w:val="16"/>
                <w:szCs w:val="16"/>
              </w:rPr>
            </w:pPr>
            <w:r w:rsidRPr="00AE58C7">
              <w:rPr>
                <w:sz w:val="16"/>
                <w:szCs w:val="16"/>
              </w:rPr>
              <w:t>-0.020</w:t>
            </w:r>
          </w:p>
          <w:p w14:paraId="0A6A6FFA" w14:textId="77777777" w:rsidR="00A94A10" w:rsidRPr="00AE58C7" w:rsidRDefault="00A94A10" w:rsidP="00BE68EC">
            <w:pPr>
              <w:jc w:val="center"/>
              <w:rPr>
                <w:sz w:val="16"/>
                <w:szCs w:val="16"/>
              </w:rPr>
            </w:pPr>
            <w:r w:rsidRPr="00AE58C7">
              <w:rPr>
                <w:sz w:val="16"/>
                <w:szCs w:val="16"/>
              </w:rPr>
              <w:t>(0.013)</w:t>
            </w:r>
          </w:p>
        </w:tc>
        <w:tc>
          <w:tcPr>
            <w:tcW w:w="1572" w:type="dxa"/>
            <w:gridSpan w:val="2"/>
            <w:tcBorders>
              <w:right w:val="single" w:sz="4" w:space="0" w:color="auto"/>
            </w:tcBorders>
            <w:vAlign w:val="center"/>
          </w:tcPr>
          <w:p w14:paraId="305678CD" w14:textId="77777777" w:rsidR="00A94A10" w:rsidRPr="00AE58C7" w:rsidRDefault="00A94A10" w:rsidP="00BE68EC">
            <w:pPr>
              <w:jc w:val="center"/>
              <w:rPr>
                <w:sz w:val="16"/>
                <w:szCs w:val="16"/>
                <w:vertAlign w:val="superscript"/>
              </w:rPr>
            </w:pPr>
            <w:r w:rsidRPr="00AE58C7">
              <w:rPr>
                <w:sz w:val="16"/>
                <w:szCs w:val="16"/>
              </w:rPr>
              <w:t>-0.024</w:t>
            </w:r>
            <w:r w:rsidRPr="00AE58C7">
              <w:rPr>
                <w:sz w:val="16"/>
                <w:szCs w:val="16"/>
                <w:vertAlign w:val="superscript"/>
              </w:rPr>
              <w:t>+</w:t>
            </w:r>
          </w:p>
          <w:p w14:paraId="0065260C" w14:textId="77777777" w:rsidR="00A94A10" w:rsidRPr="00AE58C7" w:rsidRDefault="00A94A10" w:rsidP="00BE68EC">
            <w:pPr>
              <w:jc w:val="center"/>
              <w:rPr>
                <w:sz w:val="16"/>
                <w:szCs w:val="16"/>
              </w:rPr>
            </w:pPr>
            <w:r w:rsidRPr="00AE58C7">
              <w:rPr>
                <w:sz w:val="16"/>
                <w:szCs w:val="16"/>
              </w:rPr>
              <w:t>(0.013)</w:t>
            </w:r>
          </w:p>
        </w:tc>
        <w:tc>
          <w:tcPr>
            <w:tcW w:w="1571" w:type="dxa"/>
            <w:tcBorders>
              <w:left w:val="single" w:sz="4" w:space="0" w:color="auto"/>
            </w:tcBorders>
          </w:tcPr>
          <w:p w14:paraId="4371381B" w14:textId="77777777" w:rsidR="00A94A10" w:rsidRDefault="00A94A10" w:rsidP="00BE68EC">
            <w:pPr>
              <w:jc w:val="center"/>
              <w:rPr>
                <w:sz w:val="16"/>
                <w:szCs w:val="16"/>
                <w:vertAlign w:val="superscript"/>
              </w:rPr>
            </w:pPr>
            <w:r>
              <w:rPr>
                <w:sz w:val="16"/>
                <w:szCs w:val="16"/>
              </w:rPr>
              <w:t>0.021</w:t>
            </w:r>
            <w:r>
              <w:rPr>
                <w:sz w:val="16"/>
                <w:szCs w:val="16"/>
                <w:vertAlign w:val="superscript"/>
              </w:rPr>
              <w:t>+</w:t>
            </w:r>
          </w:p>
          <w:p w14:paraId="698241EB" w14:textId="77777777" w:rsidR="00A94A10" w:rsidRPr="00E61D88" w:rsidRDefault="00A94A10" w:rsidP="00BE68EC">
            <w:pPr>
              <w:jc w:val="center"/>
              <w:rPr>
                <w:sz w:val="16"/>
                <w:szCs w:val="16"/>
              </w:rPr>
            </w:pPr>
            <w:r>
              <w:rPr>
                <w:sz w:val="16"/>
                <w:szCs w:val="16"/>
              </w:rPr>
              <w:t>(0.012)</w:t>
            </w:r>
          </w:p>
        </w:tc>
        <w:tc>
          <w:tcPr>
            <w:tcW w:w="1572" w:type="dxa"/>
          </w:tcPr>
          <w:p w14:paraId="4527C1FE" w14:textId="77777777" w:rsidR="00A94A10" w:rsidRDefault="00A94A10" w:rsidP="00BE68EC">
            <w:pPr>
              <w:jc w:val="center"/>
              <w:rPr>
                <w:sz w:val="16"/>
                <w:szCs w:val="16"/>
                <w:vertAlign w:val="superscript"/>
              </w:rPr>
            </w:pPr>
            <w:r>
              <w:rPr>
                <w:sz w:val="16"/>
                <w:szCs w:val="16"/>
              </w:rPr>
              <w:t>0.021</w:t>
            </w:r>
            <w:r>
              <w:rPr>
                <w:sz w:val="16"/>
                <w:szCs w:val="16"/>
                <w:vertAlign w:val="superscript"/>
              </w:rPr>
              <w:t>+</w:t>
            </w:r>
          </w:p>
          <w:p w14:paraId="2149FD26" w14:textId="77777777" w:rsidR="00A94A10" w:rsidRPr="00AE58C7" w:rsidRDefault="00A94A10" w:rsidP="00BE68EC">
            <w:pPr>
              <w:jc w:val="center"/>
              <w:rPr>
                <w:sz w:val="16"/>
                <w:szCs w:val="16"/>
              </w:rPr>
            </w:pPr>
            <w:r>
              <w:rPr>
                <w:sz w:val="16"/>
                <w:szCs w:val="16"/>
              </w:rPr>
              <w:t>(0.012)</w:t>
            </w:r>
          </w:p>
        </w:tc>
      </w:tr>
      <w:tr w:rsidR="00A94A10" w:rsidRPr="00AE58C7" w14:paraId="6E1E7588" w14:textId="77777777" w:rsidTr="00BE68EC">
        <w:tc>
          <w:tcPr>
            <w:tcW w:w="4962" w:type="dxa"/>
            <w:gridSpan w:val="3"/>
            <w:vAlign w:val="center"/>
          </w:tcPr>
          <w:p w14:paraId="35428830" w14:textId="77777777" w:rsidR="00A94A10" w:rsidRPr="00AE58C7" w:rsidRDefault="00A94A10" w:rsidP="00BE68EC">
            <w:pPr>
              <w:rPr>
                <w:sz w:val="16"/>
                <w:szCs w:val="16"/>
              </w:rPr>
            </w:pPr>
            <w:r>
              <w:rPr>
                <w:i/>
                <w:iCs/>
                <w:sz w:val="16"/>
                <w:szCs w:val="16"/>
              </w:rPr>
              <w:t>Highest e</w:t>
            </w:r>
            <w:r w:rsidRPr="00AE58C7">
              <w:rPr>
                <w:i/>
                <w:iCs/>
                <w:sz w:val="16"/>
                <w:szCs w:val="16"/>
              </w:rPr>
              <w:t>ducational achievement</w:t>
            </w:r>
            <w:r>
              <w:rPr>
                <w:i/>
                <w:iCs/>
                <w:sz w:val="16"/>
                <w:szCs w:val="16"/>
              </w:rPr>
              <w:t xml:space="preserve"> </w:t>
            </w:r>
            <w:r w:rsidRPr="00AE58C7">
              <w:rPr>
                <w:i/>
                <w:iCs/>
                <w:sz w:val="16"/>
                <w:szCs w:val="16"/>
              </w:rPr>
              <w:t>(Ref: less than Leaving Certificate)</w:t>
            </w:r>
          </w:p>
        </w:tc>
        <w:tc>
          <w:tcPr>
            <w:tcW w:w="921" w:type="dxa"/>
            <w:tcBorders>
              <w:right w:val="single" w:sz="4" w:space="0" w:color="auto"/>
            </w:tcBorders>
            <w:vAlign w:val="center"/>
          </w:tcPr>
          <w:p w14:paraId="546F5C33" w14:textId="77777777" w:rsidR="00A94A10" w:rsidRPr="00AE58C7" w:rsidRDefault="00A94A10" w:rsidP="00BE68EC">
            <w:pPr>
              <w:jc w:val="center"/>
              <w:rPr>
                <w:sz w:val="16"/>
                <w:szCs w:val="16"/>
              </w:rPr>
            </w:pPr>
          </w:p>
        </w:tc>
        <w:tc>
          <w:tcPr>
            <w:tcW w:w="1571" w:type="dxa"/>
            <w:tcBorders>
              <w:left w:val="single" w:sz="4" w:space="0" w:color="auto"/>
            </w:tcBorders>
          </w:tcPr>
          <w:p w14:paraId="4F30E44C" w14:textId="77777777" w:rsidR="00A94A10" w:rsidRDefault="00A94A10" w:rsidP="00BE68EC">
            <w:pPr>
              <w:jc w:val="center"/>
              <w:rPr>
                <w:sz w:val="16"/>
                <w:szCs w:val="16"/>
              </w:rPr>
            </w:pPr>
          </w:p>
        </w:tc>
        <w:tc>
          <w:tcPr>
            <w:tcW w:w="1572" w:type="dxa"/>
          </w:tcPr>
          <w:p w14:paraId="21B3144C" w14:textId="77777777" w:rsidR="00A94A10" w:rsidRDefault="00A94A10" w:rsidP="00BE68EC">
            <w:pPr>
              <w:jc w:val="center"/>
              <w:rPr>
                <w:sz w:val="16"/>
                <w:szCs w:val="16"/>
              </w:rPr>
            </w:pPr>
          </w:p>
        </w:tc>
      </w:tr>
      <w:tr w:rsidR="00A94A10" w:rsidRPr="00AE58C7" w14:paraId="50137A07" w14:textId="77777777" w:rsidTr="00BE68EC">
        <w:tc>
          <w:tcPr>
            <w:tcW w:w="2740" w:type="dxa"/>
            <w:vAlign w:val="center"/>
          </w:tcPr>
          <w:p w14:paraId="218FDF04" w14:textId="77777777" w:rsidR="00A94A10" w:rsidRPr="00AE58C7" w:rsidRDefault="00A94A10" w:rsidP="00BE68EC">
            <w:pPr>
              <w:rPr>
                <w:b/>
                <w:bCs/>
                <w:sz w:val="16"/>
                <w:szCs w:val="16"/>
              </w:rPr>
            </w:pPr>
            <w:r w:rsidRPr="00AE58C7">
              <w:rPr>
                <w:sz w:val="16"/>
                <w:szCs w:val="16"/>
              </w:rPr>
              <w:t xml:space="preserve"> Leaving Certificate</w:t>
            </w:r>
          </w:p>
        </w:tc>
        <w:tc>
          <w:tcPr>
            <w:tcW w:w="1571" w:type="dxa"/>
            <w:vAlign w:val="center"/>
          </w:tcPr>
          <w:p w14:paraId="276B52A1" w14:textId="77777777" w:rsidR="00A94A10" w:rsidRPr="00AE58C7" w:rsidRDefault="00A94A10" w:rsidP="00BE68EC">
            <w:pPr>
              <w:jc w:val="center"/>
              <w:rPr>
                <w:sz w:val="16"/>
                <w:szCs w:val="16"/>
              </w:rPr>
            </w:pPr>
            <w:r w:rsidRPr="00AE58C7">
              <w:rPr>
                <w:sz w:val="16"/>
                <w:szCs w:val="16"/>
              </w:rPr>
              <w:t>-0.018</w:t>
            </w:r>
          </w:p>
          <w:p w14:paraId="5B4DAA7A" w14:textId="77777777" w:rsidR="00A94A10" w:rsidRPr="00AE58C7" w:rsidRDefault="00A94A10" w:rsidP="00BE68EC">
            <w:pPr>
              <w:jc w:val="center"/>
              <w:rPr>
                <w:sz w:val="16"/>
                <w:szCs w:val="16"/>
              </w:rPr>
            </w:pPr>
            <w:r w:rsidRPr="00AE58C7">
              <w:rPr>
                <w:sz w:val="16"/>
                <w:szCs w:val="16"/>
              </w:rPr>
              <w:t>(0.014)</w:t>
            </w:r>
          </w:p>
        </w:tc>
        <w:tc>
          <w:tcPr>
            <w:tcW w:w="1572" w:type="dxa"/>
            <w:gridSpan w:val="2"/>
            <w:tcBorders>
              <w:right w:val="single" w:sz="4" w:space="0" w:color="auto"/>
            </w:tcBorders>
            <w:vAlign w:val="center"/>
          </w:tcPr>
          <w:p w14:paraId="4D91E8CE" w14:textId="77777777" w:rsidR="00A94A10" w:rsidRPr="00AE58C7" w:rsidRDefault="00A94A10" w:rsidP="00BE68EC">
            <w:pPr>
              <w:jc w:val="center"/>
              <w:rPr>
                <w:sz w:val="16"/>
                <w:szCs w:val="16"/>
              </w:rPr>
            </w:pPr>
            <w:r w:rsidRPr="00AE58C7">
              <w:rPr>
                <w:sz w:val="16"/>
                <w:szCs w:val="16"/>
              </w:rPr>
              <w:t>-0.012</w:t>
            </w:r>
          </w:p>
          <w:p w14:paraId="719D028C" w14:textId="77777777" w:rsidR="00A94A10" w:rsidRPr="00AE58C7" w:rsidRDefault="00A94A10" w:rsidP="00BE68EC">
            <w:pPr>
              <w:jc w:val="center"/>
              <w:rPr>
                <w:sz w:val="16"/>
                <w:szCs w:val="16"/>
              </w:rPr>
            </w:pPr>
            <w:r w:rsidRPr="00AE58C7">
              <w:rPr>
                <w:sz w:val="16"/>
                <w:szCs w:val="16"/>
              </w:rPr>
              <w:t>(0.013)</w:t>
            </w:r>
          </w:p>
        </w:tc>
        <w:tc>
          <w:tcPr>
            <w:tcW w:w="1571" w:type="dxa"/>
            <w:tcBorders>
              <w:left w:val="single" w:sz="4" w:space="0" w:color="auto"/>
            </w:tcBorders>
          </w:tcPr>
          <w:p w14:paraId="2F779B4A" w14:textId="77777777" w:rsidR="00A94A10" w:rsidRDefault="00A94A10" w:rsidP="00BE68EC">
            <w:pPr>
              <w:jc w:val="center"/>
              <w:rPr>
                <w:sz w:val="16"/>
                <w:szCs w:val="16"/>
              </w:rPr>
            </w:pPr>
            <w:r>
              <w:rPr>
                <w:sz w:val="16"/>
                <w:szCs w:val="16"/>
              </w:rPr>
              <w:t>0.006</w:t>
            </w:r>
          </w:p>
          <w:p w14:paraId="1A8D250D" w14:textId="77777777" w:rsidR="00A94A10" w:rsidRPr="00AE58C7" w:rsidRDefault="00A94A10" w:rsidP="00BE68EC">
            <w:pPr>
              <w:jc w:val="center"/>
              <w:rPr>
                <w:sz w:val="16"/>
                <w:szCs w:val="16"/>
              </w:rPr>
            </w:pPr>
            <w:r>
              <w:rPr>
                <w:sz w:val="16"/>
                <w:szCs w:val="16"/>
              </w:rPr>
              <w:t>(0.012)</w:t>
            </w:r>
          </w:p>
        </w:tc>
        <w:tc>
          <w:tcPr>
            <w:tcW w:w="1572" w:type="dxa"/>
          </w:tcPr>
          <w:p w14:paraId="33D31BEC" w14:textId="77777777" w:rsidR="00A94A10" w:rsidRDefault="00A94A10" w:rsidP="00BE68EC">
            <w:pPr>
              <w:jc w:val="center"/>
              <w:rPr>
                <w:sz w:val="16"/>
                <w:szCs w:val="16"/>
              </w:rPr>
            </w:pPr>
            <w:r>
              <w:rPr>
                <w:sz w:val="16"/>
                <w:szCs w:val="16"/>
              </w:rPr>
              <w:t>0.004</w:t>
            </w:r>
          </w:p>
          <w:p w14:paraId="44E2E90D" w14:textId="77777777" w:rsidR="00A94A10" w:rsidRPr="00AE58C7" w:rsidRDefault="00A94A10" w:rsidP="00BE68EC">
            <w:pPr>
              <w:jc w:val="center"/>
              <w:rPr>
                <w:sz w:val="16"/>
                <w:szCs w:val="16"/>
              </w:rPr>
            </w:pPr>
            <w:r>
              <w:rPr>
                <w:sz w:val="16"/>
                <w:szCs w:val="16"/>
              </w:rPr>
              <w:t>(0.012)</w:t>
            </w:r>
          </w:p>
        </w:tc>
      </w:tr>
      <w:tr w:rsidR="00A94A10" w:rsidRPr="00AE58C7" w14:paraId="5B2B78FF" w14:textId="77777777" w:rsidTr="00BE68EC">
        <w:tc>
          <w:tcPr>
            <w:tcW w:w="2740" w:type="dxa"/>
            <w:vAlign w:val="center"/>
          </w:tcPr>
          <w:p w14:paraId="163D4460" w14:textId="77777777" w:rsidR="00A94A10" w:rsidRPr="00AE58C7" w:rsidRDefault="00A94A10" w:rsidP="00BE68EC">
            <w:pPr>
              <w:rPr>
                <w:sz w:val="16"/>
                <w:szCs w:val="16"/>
              </w:rPr>
            </w:pPr>
            <w:r w:rsidRPr="00AE58C7">
              <w:rPr>
                <w:sz w:val="16"/>
                <w:szCs w:val="16"/>
              </w:rPr>
              <w:t xml:space="preserve"> Degree (graduate/postgraduate)</w:t>
            </w:r>
          </w:p>
        </w:tc>
        <w:tc>
          <w:tcPr>
            <w:tcW w:w="1571" w:type="dxa"/>
            <w:vAlign w:val="center"/>
          </w:tcPr>
          <w:p w14:paraId="4774C495" w14:textId="77777777" w:rsidR="00A94A10" w:rsidRPr="00AE58C7" w:rsidRDefault="00A94A10" w:rsidP="00BE68EC">
            <w:pPr>
              <w:jc w:val="center"/>
              <w:rPr>
                <w:sz w:val="16"/>
                <w:szCs w:val="16"/>
              </w:rPr>
            </w:pPr>
            <w:r w:rsidRPr="00AE58C7">
              <w:rPr>
                <w:sz w:val="16"/>
                <w:szCs w:val="16"/>
              </w:rPr>
              <w:t>-0.034*</w:t>
            </w:r>
          </w:p>
          <w:p w14:paraId="65A65A53" w14:textId="77777777" w:rsidR="00A94A10" w:rsidRPr="00AE58C7" w:rsidRDefault="00A94A10" w:rsidP="00BE68EC">
            <w:pPr>
              <w:jc w:val="center"/>
              <w:rPr>
                <w:sz w:val="16"/>
                <w:szCs w:val="16"/>
              </w:rPr>
            </w:pPr>
            <w:r w:rsidRPr="00AE58C7">
              <w:rPr>
                <w:sz w:val="16"/>
                <w:szCs w:val="16"/>
              </w:rPr>
              <w:t>(0.014)</w:t>
            </w:r>
          </w:p>
        </w:tc>
        <w:tc>
          <w:tcPr>
            <w:tcW w:w="1572" w:type="dxa"/>
            <w:gridSpan w:val="2"/>
            <w:tcBorders>
              <w:right w:val="single" w:sz="4" w:space="0" w:color="auto"/>
            </w:tcBorders>
            <w:vAlign w:val="center"/>
          </w:tcPr>
          <w:p w14:paraId="39E405F5" w14:textId="77777777" w:rsidR="00A94A10" w:rsidRPr="00AE58C7" w:rsidRDefault="00A94A10" w:rsidP="00BE68EC">
            <w:pPr>
              <w:jc w:val="center"/>
              <w:rPr>
                <w:sz w:val="16"/>
                <w:szCs w:val="16"/>
              </w:rPr>
            </w:pPr>
            <w:r w:rsidRPr="00AE58C7">
              <w:rPr>
                <w:sz w:val="16"/>
                <w:szCs w:val="16"/>
              </w:rPr>
              <w:t>-0.028*</w:t>
            </w:r>
          </w:p>
          <w:p w14:paraId="7BC55FBE" w14:textId="77777777" w:rsidR="00A94A10" w:rsidRPr="00AE58C7" w:rsidRDefault="00A94A10" w:rsidP="00BE68EC">
            <w:pPr>
              <w:jc w:val="center"/>
              <w:rPr>
                <w:sz w:val="16"/>
                <w:szCs w:val="16"/>
              </w:rPr>
            </w:pPr>
            <w:r w:rsidRPr="00AE58C7">
              <w:rPr>
                <w:sz w:val="16"/>
                <w:szCs w:val="16"/>
              </w:rPr>
              <w:t>(0.014)</w:t>
            </w:r>
          </w:p>
        </w:tc>
        <w:tc>
          <w:tcPr>
            <w:tcW w:w="1571" w:type="dxa"/>
            <w:tcBorders>
              <w:left w:val="single" w:sz="4" w:space="0" w:color="auto"/>
            </w:tcBorders>
          </w:tcPr>
          <w:p w14:paraId="5DF6F0C3" w14:textId="77777777" w:rsidR="00A94A10" w:rsidRDefault="00A94A10" w:rsidP="00BE68EC">
            <w:pPr>
              <w:jc w:val="center"/>
              <w:rPr>
                <w:sz w:val="16"/>
                <w:szCs w:val="16"/>
              </w:rPr>
            </w:pPr>
            <w:r>
              <w:rPr>
                <w:sz w:val="16"/>
                <w:szCs w:val="16"/>
              </w:rPr>
              <w:t>0.006</w:t>
            </w:r>
          </w:p>
          <w:p w14:paraId="657F42AD" w14:textId="77777777" w:rsidR="00A94A10" w:rsidRPr="00AE58C7" w:rsidRDefault="00A94A10" w:rsidP="00BE68EC">
            <w:pPr>
              <w:jc w:val="center"/>
              <w:rPr>
                <w:sz w:val="16"/>
                <w:szCs w:val="16"/>
              </w:rPr>
            </w:pPr>
            <w:r>
              <w:rPr>
                <w:sz w:val="16"/>
                <w:szCs w:val="16"/>
              </w:rPr>
              <w:t>(0.013)</w:t>
            </w:r>
          </w:p>
        </w:tc>
        <w:tc>
          <w:tcPr>
            <w:tcW w:w="1572" w:type="dxa"/>
          </w:tcPr>
          <w:p w14:paraId="5E2DDEE2" w14:textId="77777777" w:rsidR="00A94A10" w:rsidRDefault="00A94A10" w:rsidP="00BE68EC">
            <w:pPr>
              <w:jc w:val="center"/>
              <w:rPr>
                <w:sz w:val="16"/>
                <w:szCs w:val="16"/>
              </w:rPr>
            </w:pPr>
            <w:r>
              <w:rPr>
                <w:sz w:val="16"/>
                <w:szCs w:val="16"/>
              </w:rPr>
              <w:t>0.004</w:t>
            </w:r>
          </w:p>
          <w:p w14:paraId="20CC5D7E" w14:textId="77777777" w:rsidR="00A94A10" w:rsidRPr="00AE58C7" w:rsidRDefault="00A94A10" w:rsidP="00BE68EC">
            <w:pPr>
              <w:jc w:val="center"/>
              <w:rPr>
                <w:sz w:val="16"/>
                <w:szCs w:val="16"/>
              </w:rPr>
            </w:pPr>
            <w:r>
              <w:rPr>
                <w:sz w:val="16"/>
                <w:szCs w:val="16"/>
              </w:rPr>
              <w:t>(0.013)</w:t>
            </w:r>
          </w:p>
        </w:tc>
      </w:tr>
      <w:tr w:rsidR="00A94A10" w:rsidRPr="00AE58C7" w14:paraId="3AC53C2C" w14:textId="77777777" w:rsidTr="00BE68EC">
        <w:tc>
          <w:tcPr>
            <w:tcW w:w="2740" w:type="dxa"/>
            <w:tcBorders>
              <w:bottom w:val="nil"/>
            </w:tcBorders>
            <w:vAlign w:val="center"/>
          </w:tcPr>
          <w:p w14:paraId="2DCDC0C1" w14:textId="77777777" w:rsidR="00A94A10" w:rsidRPr="00AE58C7" w:rsidRDefault="00A94A10" w:rsidP="00BE68EC">
            <w:pPr>
              <w:rPr>
                <w:sz w:val="16"/>
                <w:szCs w:val="16"/>
              </w:rPr>
            </w:pPr>
            <w:r w:rsidRPr="00AE58C7">
              <w:rPr>
                <w:sz w:val="16"/>
                <w:szCs w:val="16"/>
              </w:rPr>
              <w:t>Participate in social groups</w:t>
            </w:r>
          </w:p>
        </w:tc>
        <w:tc>
          <w:tcPr>
            <w:tcW w:w="1571" w:type="dxa"/>
            <w:tcBorders>
              <w:bottom w:val="nil"/>
            </w:tcBorders>
            <w:vAlign w:val="center"/>
          </w:tcPr>
          <w:p w14:paraId="49687817" w14:textId="77777777" w:rsidR="00A94A10" w:rsidRPr="00AE58C7" w:rsidRDefault="00A94A10" w:rsidP="00BE68EC">
            <w:pPr>
              <w:jc w:val="center"/>
              <w:rPr>
                <w:sz w:val="16"/>
                <w:szCs w:val="16"/>
              </w:rPr>
            </w:pPr>
            <w:r w:rsidRPr="00AE58C7">
              <w:rPr>
                <w:sz w:val="16"/>
                <w:szCs w:val="16"/>
              </w:rPr>
              <w:t>-0.039***</w:t>
            </w:r>
          </w:p>
          <w:p w14:paraId="47D3EB3D" w14:textId="77777777" w:rsidR="00A94A10" w:rsidRPr="00AE58C7" w:rsidRDefault="00A94A10" w:rsidP="00BE68EC">
            <w:pPr>
              <w:jc w:val="center"/>
              <w:rPr>
                <w:sz w:val="16"/>
                <w:szCs w:val="16"/>
              </w:rPr>
            </w:pPr>
            <w:r w:rsidRPr="00AE58C7">
              <w:rPr>
                <w:sz w:val="16"/>
                <w:szCs w:val="16"/>
              </w:rPr>
              <w:t>(0.009)</w:t>
            </w:r>
          </w:p>
        </w:tc>
        <w:tc>
          <w:tcPr>
            <w:tcW w:w="1572" w:type="dxa"/>
            <w:gridSpan w:val="2"/>
            <w:tcBorders>
              <w:bottom w:val="nil"/>
              <w:right w:val="single" w:sz="4" w:space="0" w:color="auto"/>
            </w:tcBorders>
            <w:vAlign w:val="center"/>
          </w:tcPr>
          <w:p w14:paraId="27F457AE" w14:textId="77777777" w:rsidR="00A94A10" w:rsidRPr="00AE58C7" w:rsidRDefault="00A94A10" w:rsidP="00BE68EC">
            <w:pPr>
              <w:jc w:val="center"/>
              <w:rPr>
                <w:sz w:val="16"/>
                <w:szCs w:val="16"/>
              </w:rPr>
            </w:pPr>
            <w:r>
              <w:rPr>
                <w:sz w:val="16"/>
                <w:szCs w:val="16"/>
              </w:rPr>
              <w:t>-</w:t>
            </w:r>
            <w:r w:rsidRPr="00AE58C7">
              <w:rPr>
                <w:sz w:val="16"/>
                <w:szCs w:val="16"/>
              </w:rPr>
              <w:t>0.037***</w:t>
            </w:r>
          </w:p>
          <w:p w14:paraId="63D483DA" w14:textId="77777777" w:rsidR="00A94A10" w:rsidRPr="00AE58C7" w:rsidRDefault="00A94A10" w:rsidP="00BE68EC">
            <w:pPr>
              <w:jc w:val="center"/>
              <w:rPr>
                <w:sz w:val="16"/>
                <w:szCs w:val="16"/>
              </w:rPr>
            </w:pPr>
            <w:r w:rsidRPr="00AE58C7">
              <w:rPr>
                <w:sz w:val="16"/>
                <w:szCs w:val="16"/>
              </w:rPr>
              <w:t>(0.009)</w:t>
            </w:r>
          </w:p>
        </w:tc>
        <w:tc>
          <w:tcPr>
            <w:tcW w:w="1571" w:type="dxa"/>
            <w:tcBorders>
              <w:left w:val="single" w:sz="4" w:space="0" w:color="auto"/>
              <w:bottom w:val="nil"/>
            </w:tcBorders>
          </w:tcPr>
          <w:p w14:paraId="6AD333A2" w14:textId="77777777" w:rsidR="00A94A10" w:rsidRDefault="00A94A10" w:rsidP="00BE68EC">
            <w:pPr>
              <w:jc w:val="center"/>
              <w:rPr>
                <w:sz w:val="16"/>
                <w:szCs w:val="16"/>
              </w:rPr>
            </w:pPr>
            <w:r>
              <w:rPr>
                <w:sz w:val="16"/>
                <w:szCs w:val="16"/>
              </w:rPr>
              <w:t>0.022</w:t>
            </w:r>
          </w:p>
          <w:p w14:paraId="4370CE34" w14:textId="77777777" w:rsidR="00A94A10" w:rsidRPr="00AE58C7" w:rsidRDefault="00A94A10" w:rsidP="00BE68EC">
            <w:pPr>
              <w:jc w:val="center"/>
              <w:rPr>
                <w:sz w:val="16"/>
                <w:szCs w:val="16"/>
              </w:rPr>
            </w:pPr>
            <w:r>
              <w:rPr>
                <w:sz w:val="16"/>
                <w:szCs w:val="16"/>
              </w:rPr>
              <w:t>(0.009)</w:t>
            </w:r>
          </w:p>
        </w:tc>
        <w:tc>
          <w:tcPr>
            <w:tcW w:w="1572" w:type="dxa"/>
            <w:tcBorders>
              <w:bottom w:val="nil"/>
            </w:tcBorders>
          </w:tcPr>
          <w:p w14:paraId="59A38093" w14:textId="77777777" w:rsidR="00A94A10" w:rsidRDefault="00A94A10" w:rsidP="00BE68EC">
            <w:pPr>
              <w:jc w:val="center"/>
              <w:rPr>
                <w:sz w:val="16"/>
                <w:szCs w:val="16"/>
              </w:rPr>
            </w:pPr>
            <w:r>
              <w:rPr>
                <w:sz w:val="16"/>
                <w:szCs w:val="16"/>
              </w:rPr>
              <w:t>0.020</w:t>
            </w:r>
          </w:p>
          <w:p w14:paraId="70885F84" w14:textId="77777777" w:rsidR="00A94A10" w:rsidRPr="00AE58C7" w:rsidRDefault="00A94A10" w:rsidP="00BE68EC">
            <w:pPr>
              <w:jc w:val="center"/>
              <w:rPr>
                <w:sz w:val="16"/>
                <w:szCs w:val="16"/>
              </w:rPr>
            </w:pPr>
            <w:r>
              <w:rPr>
                <w:sz w:val="16"/>
                <w:szCs w:val="16"/>
              </w:rPr>
              <w:t>(0.009)</w:t>
            </w:r>
          </w:p>
        </w:tc>
      </w:tr>
      <w:tr w:rsidR="00A94A10" w:rsidRPr="00AE58C7" w14:paraId="7964597D" w14:textId="77777777" w:rsidTr="00BE68EC">
        <w:tc>
          <w:tcPr>
            <w:tcW w:w="2740" w:type="dxa"/>
            <w:tcBorders>
              <w:top w:val="nil"/>
              <w:bottom w:val="single" w:sz="4" w:space="0" w:color="auto"/>
            </w:tcBorders>
            <w:vAlign w:val="center"/>
          </w:tcPr>
          <w:p w14:paraId="3BA22925" w14:textId="77777777" w:rsidR="00A94A10" w:rsidRPr="00AE58C7" w:rsidRDefault="00A94A10" w:rsidP="00BE68EC">
            <w:pPr>
              <w:rPr>
                <w:sz w:val="16"/>
                <w:szCs w:val="16"/>
              </w:rPr>
            </w:pPr>
            <w:r w:rsidRPr="00AE58C7">
              <w:rPr>
                <w:sz w:val="16"/>
                <w:szCs w:val="16"/>
              </w:rPr>
              <w:t xml:space="preserve">Few people to count on </w:t>
            </w:r>
          </w:p>
        </w:tc>
        <w:tc>
          <w:tcPr>
            <w:tcW w:w="1571" w:type="dxa"/>
            <w:tcBorders>
              <w:top w:val="nil"/>
              <w:bottom w:val="single" w:sz="4" w:space="0" w:color="auto"/>
            </w:tcBorders>
            <w:vAlign w:val="center"/>
          </w:tcPr>
          <w:p w14:paraId="57113D04" w14:textId="77777777" w:rsidR="00A94A10" w:rsidRPr="00AE58C7" w:rsidRDefault="00A94A10" w:rsidP="00BE68EC">
            <w:pPr>
              <w:jc w:val="center"/>
              <w:rPr>
                <w:sz w:val="16"/>
                <w:szCs w:val="16"/>
              </w:rPr>
            </w:pPr>
            <w:r w:rsidRPr="00AE58C7">
              <w:rPr>
                <w:sz w:val="16"/>
                <w:szCs w:val="16"/>
              </w:rPr>
              <w:t>0.057***</w:t>
            </w:r>
          </w:p>
          <w:p w14:paraId="4B5EB4B8" w14:textId="77777777" w:rsidR="00A94A10" w:rsidRPr="00AE58C7" w:rsidRDefault="00A94A10" w:rsidP="00BE68EC">
            <w:pPr>
              <w:jc w:val="center"/>
              <w:rPr>
                <w:sz w:val="16"/>
                <w:szCs w:val="16"/>
              </w:rPr>
            </w:pPr>
            <w:r w:rsidRPr="00AE58C7">
              <w:rPr>
                <w:sz w:val="16"/>
                <w:szCs w:val="16"/>
              </w:rPr>
              <w:t>(0.011)</w:t>
            </w:r>
          </w:p>
        </w:tc>
        <w:tc>
          <w:tcPr>
            <w:tcW w:w="1572" w:type="dxa"/>
            <w:gridSpan w:val="2"/>
            <w:tcBorders>
              <w:top w:val="nil"/>
              <w:bottom w:val="single" w:sz="4" w:space="0" w:color="auto"/>
              <w:right w:val="single" w:sz="4" w:space="0" w:color="auto"/>
            </w:tcBorders>
            <w:vAlign w:val="center"/>
          </w:tcPr>
          <w:p w14:paraId="0B47D0C3" w14:textId="77777777" w:rsidR="00A94A10" w:rsidRPr="00AE58C7" w:rsidRDefault="00A94A10" w:rsidP="00BE68EC">
            <w:pPr>
              <w:jc w:val="center"/>
              <w:rPr>
                <w:sz w:val="16"/>
                <w:szCs w:val="16"/>
              </w:rPr>
            </w:pPr>
            <w:r w:rsidRPr="00AE58C7">
              <w:rPr>
                <w:sz w:val="16"/>
                <w:szCs w:val="16"/>
              </w:rPr>
              <w:t>0.046***</w:t>
            </w:r>
          </w:p>
          <w:p w14:paraId="5D207B1E" w14:textId="77777777" w:rsidR="00A94A10" w:rsidRPr="00AE58C7" w:rsidRDefault="00A94A10" w:rsidP="00BE68EC">
            <w:pPr>
              <w:jc w:val="center"/>
              <w:rPr>
                <w:sz w:val="16"/>
                <w:szCs w:val="16"/>
              </w:rPr>
            </w:pPr>
            <w:r w:rsidRPr="00AE58C7">
              <w:rPr>
                <w:sz w:val="16"/>
                <w:szCs w:val="16"/>
              </w:rPr>
              <w:t>(0.011)</w:t>
            </w:r>
          </w:p>
        </w:tc>
        <w:tc>
          <w:tcPr>
            <w:tcW w:w="1571" w:type="dxa"/>
            <w:tcBorders>
              <w:top w:val="nil"/>
              <w:left w:val="single" w:sz="4" w:space="0" w:color="auto"/>
              <w:bottom w:val="single" w:sz="4" w:space="0" w:color="auto"/>
            </w:tcBorders>
          </w:tcPr>
          <w:p w14:paraId="4220032B" w14:textId="77777777" w:rsidR="00A94A10" w:rsidRDefault="00A94A10" w:rsidP="00BE68EC">
            <w:pPr>
              <w:jc w:val="center"/>
              <w:rPr>
                <w:sz w:val="16"/>
                <w:szCs w:val="16"/>
              </w:rPr>
            </w:pPr>
            <w:r>
              <w:rPr>
                <w:sz w:val="16"/>
                <w:szCs w:val="16"/>
              </w:rPr>
              <w:t>-0.043***</w:t>
            </w:r>
          </w:p>
          <w:p w14:paraId="61265738" w14:textId="77777777" w:rsidR="00A94A10" w:rsidRPr="00AE58C7" w:rsidRDefault="00A94A10" w:rsidP="00BE68EC">
            <w:pPr>
              <w:jc w:val="center"/>
              <w:rPr>
                <w:sz w:val="16"/>
                <w:szCs w:val="16"/>
              </w:rPr>
            </w:pPr>
            <w:r>
              <w:rPr>
                <w:sz w:val="16"/>
                <w:szCs w:val="16"/>
              </w:rPr>
              <w:t>(0.011)</w:t>
            </w:r>
          </w:p>
        </w:tc>
        <w:tc>
          <w:tcPr>
            <w:tcW w:w="1572" w:type="dxa"/>
            <w:tcBorders>
              <w:top w:val="nil"/>
              <w:bottom w:val="single" w:sz="4" w:space="0" w:color="auto"/>
            </w:tcBorders>
          </w:tcPr>
          <w:p w14:paraId="16ECEDF1" w14:textId="77777777" w:rsidR="00A94A10" w:rsidRDefault="00A94A10" w:rsidP="00BE68EC">
            <w:pPr>
              <w:jc w:val="center"/>
              <w:rPr>
                <w:sz w:val="16"/>
                <w:szCs w:val="16"/>
              </w:rPr>
            </w:pPr>
            <w:r>
              <w:rPr>
                <w:sz w:val="16"/>
                <w:szCs w:val="16"/>
              </w:rPr>
              <w:t>-0.036***</w:t>
            </w:r>
          </w:p>
          <w:p w14:paraId="1A70EDED" w14:textId="77777777" w:rsidR="00A94A10" w:rsidRPr="00AE58C7" w:rsidRDefault="00A94A10" w:rsidP="00BE68EC">
            <w:pPr>
              <w:jc w:val="center"/>
              <w:rPr>
                <w:sz w:val="16"/>
                <w:szCs w:val="16"/>
              </w:rPr>
            </w:pPr>
            <w:r>
              <w:rPr>
                <w:sz w:val="16"/>
                <w:szCs w:val="16"/>
              </w:rPr>
              <w:t>(0.011)</w:t>
            </w:r>
          </w:p>
        </w:tc>
      </w:tr>
      <w:tr w:rsidR="00A94A10" w:rsidRPr="00AE58C7" w14:paraId="45BB805A" w14:textId="77777777" w:rsidTr="00BE68EC">
        <w:tc>
          <w:tcPr>
            <w:tcW w:w="2740" w:type="dxa"/>
            <w:tcBorders>
              <w:top w:val="single" w:sz="4" w:space="0" w:color="auto"/>
            </w:tcBorders>
            <w:vAlign w:val="center"/>
          </w:tcPr>
          <w:p w14:paraId="19C9F9B0" w14:textId="77777777" w:rsidR="00A94A10" w:rsidRPr="00AE58C7" w:rsidRDefault="00A94A10" w:rsidP="00BE68EC">
            <w:pPr>
              <w:rPr>
                <w:sz w:val="16"/>
                <w:szCs w:val="16"/>
                <w:vertAlign w:val="superscript"/>
              </w:rPr>
            </w:pPr>
            <w:r w:rsidRPr="00AE58C7">
              <w:rPr>
                <w:sz w:val="16"/>
                <w:szCs w:val="16"/>
              </w:rPr>
              <w:t>Pseudo R</w:t>
            </w:r>
            <w:r w:rsidRPr="00AE58C7">
              <w:rPr>
                <w:sz w:val="16"/>
                <w:szCs w:val="16"/>
                <w:vertAlign w:val="superscript"/>
              </w:rPr>
              <w:t>2</w:t>
            </w:r>
          </w:p>
        </w:tc>
        <w:tc>
          <w:tcPr>
            <w:tcW w:w="1571" w:type="dxa"/>
            <w:tcBorders>
              <w:top w:val="single" w:sz="4" w:space="0" w:color="auto"/>
            </w:tcBorders>
            <w:vAlign w:val="center"/>
          </w:tcPr>
          <w:p w14:paraId="747C905A" w14:textId="77777777" w:rsidR="00A94A10" w:rsidRPr="00AE58C7" w:rsidRDefault="00A94A10" w:rsidP="00BE68EC">
            <w:pPr>
              <w:jc w:val="center"/>
              <w:rPr>
                <w:sz w:val="16"/>
                <w:szCs w:val="16"/>
              </w:rPr>
            </w:pPr>
            <w:r w:rsidRPr="00AE58C7">
              <w:rPr>
                <w:sz w:val="16"/>
                <w:szCs w:val="16"/>
              </w:rPr>
              <w:t>0.239</w:t>
            </w:r>
          </w:p>
        </w:tc>
        <w:tc>
          <w:tcPr>
            <w:tcW w:w="1572" w:type="dxa"/>
            <w:gridSpan w:val="2"/>
            <w:tcBorders>
              <w:top w:val="single" w:sz="4" w:space="0" w:color="auto"/>
              <w:right w:val="single" w:sz="4" w:space="0" w:color="auto"/>
            </w:tcBorders>
            <w:vAlign w:val="center"/>
          </w:tcPr>
          <w:p w14:paraId="69BACE78" w14:textId="77777777" w:rsidR="00A94A10" w:rsidRPr="00AE58C7" w:rsidRDefault="00A94A10" w:rsidP="00BE68EC">
            <w:pPr>
              <w:jc w:val="center"/>
              <w:rPr>
                <w:sz w:val="16"/>
                <w:szCs w:val="16"/>
              </w:rPr>
            </w:pPr>
            <w:r w:rsidRPr="00AE58C7">
              <w:rPr>
                <w:sz w:val="16"/>
                <w:szCs w:val="16"/>
              </w:rPr>
              <w:t>0.256</w:t>
            </w:r>
          </w:p>
        </w:tc>
        <w:tc>
          <w:tcPr>
            <w:tcW w:w="1571" w:type="dxa"/>
            <w:tcBorders>
              <w:top w:val="single" w:sz="4" w:space="0" w:color="auto"/>
              <w:left w:val="single" w:sz="4" w:space="0" w:color="auto"/>
            </w:tcBorders>
          </w:tcPr>
          <w:p w14:paraId="3E8FC283" w14:textId="77777777" w:rsidR="00A94A10" w:rsidRPr="00AE58C7" w:rsidRDefault="00A94A10" w:rsidP="00BE68EC">
            <w:pPr>
              <w:jc w:val="center"/>
              <w:rPr>
                <w:sz w:val="16"/>
                <w:szCs w:val="16"/>
              </w:rPr>
            </w:pPr>
            <w:r>
              <w:rPr>
                <w:sz w:val="16"/>
                <w:szCs w:val="16"/>
              </w:rPr>
              <w:t>0.263</w:t>
            </w:r>
          </w:p>
        </w:tc>
        <w:tc>
          <w:tcPr>
            <w:tcW w:w="1572" w:type="dxa"/>
            <w:tcBorders>
              <w:top w:val="single" w:sz="4" w:space="0" w:color="auto"/>
            </w:tcBorders>
          </w:tcPr>
          <w:p w14:paraId="2C25EB2A" w14:textId="77777777" w:rsidR="00A94A10" w:rsidRPr="00AE58C7" w:rsidRDefault="00A94A10" w:rsidP="00BE68EC">
            <w:pPr>
              <w:jc w:val="center"/>
              <w:rPr>
                <w:sz w:val="16"/>
                <w:szCs w:val="16"/>
              </w:rPr>
            </w:pPr>
            <w:r>
              <w:rPr>
                <w:sz w:val="16"/>
                <w:szCs w:val="16"/>
              </w:rPr>
              <w:t>0.273</w:t>
            </w:r>
          </w:p>
        </w:tc>
      </w:tr>
      <w:tr w:rsidR="00A94A10" w:rsidRPr="00AE58C7" w14:paraId="5966B6F6" w14:textId="77777777" w:rsidTr="00BE68EC">
        <w:tc>
          <w:tcPr>
            <w:tcW w:w="2740" w:type="dxa"/>
            <w:vAlign w:val="center"/>
          </w:tcPr>
          <w:p w14:paraId="4537CB38" w14:textId="77777777" w:rsidR="00A94A10" w:rsidRPr="00AE58C7" w:rsidRDefault="00A94A10" w:rsidP="00BE68EC">
            <w:pPr>
              <w:rPr>
                <w:sz w:val="16"/>
                <w:szCs w:val="16"/>
              </w:rPr>
            </w:pPr>
            <w:r w:rsidRPr="00AE58C7">
              <w:rPr>
                <w:sz w:val="16"/>
                <w:szCs w:val="16"/>
              </w:rPr>
              <w:t>Log-likelihood</w:t>
            </w:r>
          </w:p>
        </w:tc>
        <w:tc>
          <w:tcPr>
            <w:tcW w:w="1571" w:type="dxa"/>
            <w:vAlign w:val="center"/>
          </w:tcPr>
          <w:p w14:paraId="087C0AF9" w14:textId="264C9DA8" w:rsidR="00A94A10" w:rsidRPr="00AE58C7" w:rsidRDefault="00A94A10" w:rsidP="00BE68EC">
            <w:pPr>
              <w:jc w:val="center"/>
              <w:rPr>
                <w:sz w:val="16"/>
                <w:szCs w:val="16"/>
              </w:rPr>
            </w:pPr>
            <w:r w:rsidRPr="00AE58C7">
              <w:rPr>
                <w:sz w:val="16"/>
                <w:szCs w:val="16"/>
              </w:rPr>
              <w:t>-2102.</w:t>
            </w:r>
            <w:r w:rsidR="002F6263">
              <w:rPr>
                <w:sz w:val="16"/>
                <w:szCs w:val="16"/>
              </w:rPr>
              <w:t>0</w:t>
            </w:r>
          </w:p>
        </w:tc>
        <w:tc>
          <w:tcPr>
            <w:tcW w:w="1572" w:type="dxa"/>
            <w:gridSpan w:val="2"/>
            <w:tcBorders>
              <w:right w:val="single" w:sz="4" w:space="0" w:color="auto"/>
            </w:tcBorders>
            <w:vAlign w:val="center"/>
          </w:tcPr>
          <w:p w14:paraId="19BDADF4" w14:textId="0027941E" w:rsidR="00A94A10" w:rsidRPr="00AE58C7" w:rsidRDefault="00A94A10" w:rsidP="00BE68EC">
            <w:pPr>
              <w:jc w:val="center"/>
              <w:rPr>
                <w:sz w:val="16"/>
                <w:szCs w:val="16"/>
              </w:rPr>
            </w:pPr>
            <w:r w:rsidRPr="00AE58C7">
              <w:rPr>
                <w:sz w:val="16"/>
                <w:szCs w:val="16"/>
              </w:rPr>
              <w:t>-205</w:t>
            </w:r>
            <w:r w:rsidR="00802C48">
              <w:rPr>
                <w:sz w:val="16"/>
                <w:szCs w:val="16"/>
              </w:rPr>
              <w:t>4.7</w:t>
            </w:r>
          </w:p>
        </w:tc>
        <w:tc>
          <w:tcPr>
            <w:tcW w:w="1571" w:type="dxa"/>
            <w:tcBorders>
              <w:left w:val="single" w:sz="4" w:space="0" w:color="auto"/>
            </w:tcBorders>
          </w:tcPr>
          <w:p w14:paraId="1CC725A9" w14:textId="77777777" w:rsidR="00A94A10" w:rsidRPr="00AE58C7" w:rsidRDefault="00A94A10" w:rsidP="00BE68EC">
            <w:pPr>
              <w:jc w:val="center"/>
              <w:rPr>
                <w:sz w:val="16"/>
                <w:szCs w:val="16"/>
              </w:rPr>
            </w:pPr>
            <w:r>
              <w:rPr>
                <w:sz w:val="16"/>
                <w:szCs w:val="16"/>
              </w:rPr>
              <w:t>-2212.3</w:t>
            </w:r>
          </w:p>
        </w:tc>
        <w:tc>
          <w:tcPr>
            <w:tcW w:w="1572" w:type="dxa"/>
          </w:tcPr>
          <w:p w14:paraId="1EFC8AD4" w14:textId="77777777" w:rsidR="00A94A10" w:rsidRPr="00AE58C7" w:rsidRDefault="00A94A10" w:rsidP="00BE68EC">
            <w:pPr>
              <w:jc w:val="center"/>
              <w:rPr>
                <w:sz w:val="16"/>
                <w:szCs w:val="16"/>
              </w:rPr>
            </w:pPr>
            <w:r>
              <w:rPr>
                <w:sz w:val="16"/>
                <w:szCs w:val="16"/>
              </w:rPr>
              <w:t>-2181.6</w:t>
            </w:r>
          </w:p>
        </w:tc>
      </w:tr>
      <w:tr w:rsidR="00A94A10" w:rsidRPr="00AE58C7" w14:paraId="22A1B93F" w14:textId="77777777" w:rsidTr="00BE68EC">
        <w:tc>
          <w:tcPr>
            <w:tcW w:w="2740" w:type="dxa"/>
            <w:tcBorders>
              <w:bottom w:val="single" w:sz="4" w:space="0" w:color="auto"/>
            </w:tcBorders>
            <w:vAlign w:val="center"/>
          </w:tcPr>
          <w:p w14:paraId="5485F44D" w14:textId="77777777" w:rsidR="00A94A10" w:rsidRPr="00AE58C7" w:rsidRDefault="00A94A10" w:rsidP="00BE68EC">
            <w:pPr>
              <w:rPr>
                <w:sz w:val="16"/>
                <w:szCs w:val="16"/>
              </w:rPr>
            </w:pPr>
            <w:r w:rsidRPr="00AE58C7">
              <w:rPr>
                <w:sz w:val="16"/>
                <w:szCs w:val="16"/>
              </w:rPr>
              <w:t>N</w:t>
            </w:r>
          </w:p>
        </w:tc>
        <w:tc>
          <w:tcPr>
            <w:tcW w:w="1571" w:type="dxa"/>
            <w:tcBorders>
              <w:bottom w:val="single" w:sz="4" w:space="0" w:color="auto"/>
            </w:tcBorders>
            <w:vAlign w:val="center"/>
          </w:tcPr>
          <w:p w14:paraId="31FA0E42" w14:textId="77777777" w:rsidR="00A94A10" w:rsidRPr="00AE58C7" w:rsidRDefault="00A94A10" w:rsidP="00BE68EC">
            <w:pPr>
              <w:jc w:val="center"/>
              <w:rPr>
                <w:sz w:val="16"/>
                <w:szCs w:val="16"/>
              </w:rPr>
            </w:pPr>
            <w:r>
              <w:rPr>
                <w:sz w:val="16"/>
                <w:szCs w:val="16"/>
              </w:rPr>
              <w:t>7314</w:t>
            </w:r>
          </w:p>
        </w:tc>
        <w:tc>
          <w:tcPr>
            <w:tcW w:w="1572" w:type="dxa"/>
            <w:gridSpan w:val="2"/>
            <w:tcBorders>
              <w:bottom w:val="single" w:sz="4" w:space="0" w:color="auto"/>
              <w:right w:val="single" w:sz="4" w:space="0" w:color="auto"/>
            </w:tcBorders>
            <w:vAlign w:val="center"/>
          </w:tcPr>
          <w:p w14:paraId="6101BD1C" w14:textId="77777777" w:rsidR="00A94A10" w:rsidRPr="00AE58C7" w:rsidRDefault="00A94A10" w:rsidP="00BE68EC">
            <w:pPr>
              <w:jc w:val="center"/>
              <w:rPr>
                <w:sz w:val="16"/>
                <w:szCs w:val="16"/>
              </w:rPr>
            </w:pPr>
            <w:r>
              <w:rPr>
                <w:sz w:val="16"/>
                <w:szCs w:val="16"/>
              </w:rPr>
              <w:t>7314</w:t>
            </w:r>
          </w:p>
        </w:tc>
        <w:tc>
          <w:tcPr>
            <w:tcW w:w="1571" w:type="dxa"/>
            <w:tcBorders>
              <w:left w:val="single" w:sz="4" w:space="0" w:color="auto"/>
              <w:bottom w:val="single" w:sz="4" w:space="0" w:color="auto"/>
            </w:tcBorders>
          </w:tcPr>
          <w:p w14:paraId="1AC0D1C9" w14:textId="77777777" w:rsidR="00A94A10" w:rsidRPr="00AE58C7" w:rsidRDefault="00A94A10" w:rsidP="00BE68EC">
            <w:pPr>
              <w:jc w:val="center"/>
              <w:rPr>
                <w:sz w:val="16"/>
                <w:szCs w:val="16"/>
              </w:rPr>
            </w:pPr>
            <w:r>
              <w:rPr>
                <w:sz w:val="16"/>
                <w:szCs w:val="16"/>
              </w:rPr>
              <w:t>7314</w:t>
            </w:r>
          </w:p>
        </w:tc>
        <w:tc>
          <w:tcPr>
            <w:tcW w:w="1572" w:type="dxa"/>
            <w:tcBorders>
              <w:bottom w:val="single" w:sz="4" w:space="0" w:color="auto"/>
            </w:tcBorders>
          </w:tcPr>
          <w:p w14:paraId="723CD419" w14:textId="77777777" w:rsidR="00A94A10" w:rsidRPr="00AE58C7" w:rsidRDefault="00A94A10" w:rsidP="00BE68EC">
            <w:pPr>
              <w:jc w:val="center"/>
              <w:rPr>
                <w:sz w:val="16"/>
                <w:szCs w:val="16"/>
              </w:rPr>
            </w:pPr>
            <w:r>
              <w:rPr>
                <w:sz w:val="16"/>
                <w:szCs w:val="16"/>
              </w:rPr>
              <w:t>7314</w:t>
            </w:r>
          </w:p>
        </w:tc>
      </w:tr>
      <w:tr w:rsidR="00A94A10" w:rsidRPr="00AE58C7" w14:paraId="796682BE" w14:textId="77777777" w:rsidTr="00BE68EC">
        <w:tc>
          <w:tcPr>
            <w:tcW w:w="9026" w:type="dxa"/>
            <w:gridSpan w:val="6"/>
            <w:tcBorders>
              <w:top w:val="single" w:sz="4" w:space="0" w:color="auto"/>
              <w:bottom w:val="single" w:sz="4" w:space="0" w:color="auto"/>
            </w:tcBorders>
          </w:tcPr>
          <w:p w14:paraId="314C6A99" w14:textId="77777777" w:rsidR="00A94A10" w:rsidRPr="007B3354" w:rsidRDefault="00A94A10" w:rsidP="00BE68EC">
            <w:pPr>
              <w:rPr>
                <w:sz w:val="14"/>
                <w:szCs w:val="14"/>
              </w:rPr>
            </w:pPr>
            <w:r w:rsidRPr="007B3354">
              <w:rPr>
                <w:sz w:val="14"/>
                <w:szCs w:val="14"/>
              </w:rPr>
              <w:t>Notes: Statistical significance denoted by p-values: +p&lt;0.1, *p&lt;0.05, **p&lt;0.01, ***p&lt;0.001.</w:t>
            </w:r>
          </w:p>
          <w:p w14:paraId="5BA238B6" w14:textId="77777777" w:rsidR="00A94A10" w:rsidRPr="00AE58C7" w:rsidRDefault="00A94A10" w:rsidP="00BE68EC">
            <w:pPr>
              <w:rPr>
                <w:sz w:val="16"/>
                <w:szCs w:val="16"/>
              </w:rPr>
            </w:pPr>
            <w:r>
              <w:rPr>
                <w:sz w:val="14"/>
                <w:szCs w:val="14"/>
              </w:rPr>
              <w:t>Estimates are presented as average marginal effects</w:t>
            </w:r>
            <w:r w:rsidRPr="007B3354">
              <w:rPr>
                <w:sz w:val="14"/>
                <w:szCs w:val="14"/>
              </w:rPr>
              <w:t>. Robust standard errors in parentheses.</w:t>
            </w:r>
            <w:r>
              <w:rPr>
                <w:sz w:val="16"/>
                <w:szCs w:val="16"/>
              </w:rPr>
              <w:t xml:space="preserve"> </w:t>
            </w:r>
          </w:p>
        </w:tc>
      </w:tr>
    </w:tbl>
    <w:p w14:paraId="65979860" w14:textId="77777777" w:rsidR="00A94A10" w:rsidRDefault="00A94A10" w:rsidP="002E3645">
      <w:pPr>
        <w:spacing w:line="360" w:lineRule="auto"/>
        <w:rPr>
          <w:b/>
          <w:bCs/>
        </w:rPr>
      </w:pPr>
    </w:p>
    <w:sectPr w:rsidR="00A94A10" w:rsidSect="006601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696B" w14:textId="77777777" w:rsidR="00713B36" w:rsidRDefault="00713B36" w:rsidP="006D484A">
      <w:pPr>
        <w:spacing w:after="0" w:line="240" w:lineRule="auto"/>
      </w:pPr>
      <w:r>
        <w:separator/>
      </w:r>
    </w:p>
  </w:endnote>
  <w:endnote w:type="continuationSeparator" w:id="0">
    <w:p w14:paraId="3989EE6E" w14:textId="77777777" w:rsidR="00713B36" w:rsidRDefault="00713B36" w:rsidP="006D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utiger 55 Roman">
    <w:altName w:val="Cambria"/>
    <w:panose1 w:val="00000000000000000000"/>
    <w:charset w:val="00"/>
    <w:family w:val="roman"/>
    <w:notTrueType/>
    <w:pitch w:val="default"/>
    <w:sig w:usb0="00000003" w:usb1="00000000" w:usb2="00000000" w:usb3="00000000" w:csb0="00000001" w:csb1="00000000"/>
  </w:font>
  <w:font w:name="Bunchló">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845230"/>
      <w:docPartObj>
        <w:docPartGallery w:val="Page Numbers (Bottom of Page)"/>
        <w:docPartUnique/>
      </w:docPartObj>
    </w:sdtPr>
    <w:sdtEndPr>
      <w:rPr>
        <w:noProof/>
      </w:rPr>
    </w:sdtEndPr>
    <w:sdtContent>
      <w:p w14:paraId="3FBAA577" w14:textId="74BB7EF9" w:rsidR="006D484A" w:rsidRDefault="006D4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4F731" w14:textId="77777777" w:rsidR="006D484A" w:rsidRDefault="006D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72C9" w14:textId="77777777" w:rsidR="00713B36" w:rsidRDefault="00713B36" w:rsidP="006D484A">
      <w:pPr>
        <w:spacing w:after="0" w:line="240" w:lineRule="auto"/>
      </w:pPr>
      <w:r>
        <w:separator/>
      </w:r>
    </w:p>
  </w:footnote>
  <w:footnote w:type="continuationSeparator" w:id="0">
    <w:p w14:paraId="35834CB8" w14:textId="77777777" w:rsidR="00713B36" w:rsidRDefault="00713B36" w:rsidP="006D484A">
      <w:pPr>
        <w:spacing w:after="0" w:line="240" w:lineRule="auto"/>
      </w:pPr>
      <w:r>
        <w:continuationSeparator/>
      </w:r>
    </w:p>
  </w:footnote>
  <w:footnote w:id="1">
    <w:p w14:paraId="4F27FA34" w14:textId="77777777" w:rsidR="004F0BC1" w:rsidRDefault="004F0BC1" w:rsidP="004F0BC1">
      <w:pPr>
        <w:pStyle w:val="FootnoteText"/>
      </w:pPr>
      <w:r>
        <w:rPr>
          <w:rStyle w:val="FootnoteReference"/>
        </w:rPr>
        <w:footnoteRef/>
      </w:r>
      <w:r>
        <w:t xml:space="preserve"> </w:t>
      </w:r>
      <w:r w:rsidRPr="000D518D">
        <w:t>https://www.oireachtas.ie/en/debates/debate/seanad/2024-05-01/12/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0F95"/>
    <w:multiLevelType w:val="hybridMultilevel"/>
    <w:tmpl w:val="0FA22896"/>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43519"/>
    <w:multiLevelType w:val="hybridMultilevel"/>
    <w:tmpl w:val="84A66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C60678"/>
    <w:multiLevelType w:val="multilevel"/>
    <w:tmpl w:val="AC607238"/>
    <w:lvl w:ilvl="0">
      <w:start w:val="3"/>
      <w:numFmt w:val="decimal"/>
      <w:lvlText w:val="%1"/>
      <w:lvlJc w:val="left"/>
      <w:pPr>
        <w:ind w:left="360" w:hanging="360"/>
      </w:pPr>
      <w:rPr>
        <w:rFonts w:hint="default"/>
        <w:i w:val="0"/>
        <w:sz w:val="22"/>
      </w:rPr>
    </w:lvl>
    <w:lvl w:ilvl="1">
      <w:start w:val="3"/>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1800" w:hanging="1800"/>
      </w:pPr>
      <w:rPr>
        <w:rFonts w:hint="default"/>
        <w:i w:val="0"/>
        <w:sz w:val="22"/>
      </w:rPr>
    </w:lvl>
  </w:abstractNum>
  <w:abstractNum w:abstractNumId="3" w15:restartNumberingAfterBreak="0">
    <w:nsid w:val="1D086A49"/>
    <w:multiLevelType w:val="hybridMultilevel"/>
    <w:tmpl w:val="55FADA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D97DF9"/>
    <w:multiLevelType w:val="multilevel"/>
    <w:tmpl w:val="E2BE2932"/>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F14B85"/>
    <w:multiLevelType w:val="multilevel"/>
    <w:tmpl w:val="E2DE03D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97708F"/>
    <w:multiLevelType w:val="multilevel"/>
    <w:tmpl w:val="D146028A"/>
    <w:lvl w:ilvl="0">
      <w:start w:val="2"/>
      <w:numFmt w:val="decimal"/>
      <w:lvlText w:val="%1."/>
      <w:lvlJc w:val="left"/>
      <w:pPr>
        <w:ind w:left="360" w:hanging="360"/>
      </w:pPr>
      <w:rPr>
        <w:rFonts w:hint="default"/>
        <w:i w:val="0"/>
        <w:sz w:val="22"/>
      </w:rPr>
    </w:lvl>
    <w:lvl w:ilvl="1">
      <w:start w:val="3"/>
      <w:numFmt w:val="decimal"/>
      <w:lvlText w:val="%1.%2."/>
      <w:lvlJc w:val="left"/>
      <w:pPr>
        <w:ind w:left="1080" w:hanging="720"/>
      </w:pPr>
      <w:rPr>
        <w:rFonts w:hint="default"/>
        <w:i w:val="0"/>
        <w:sz w:val="22"/>
      </w:rPr>
    </w:lvl>
    <w:lvl w:ilvl="2">
      <w:start w:val="1"/>
      <w:numFmt w:val="decimal"/>
      <w:lvlText w:val="%1.%2.%3."/>
      <w:lvlJc w:val="left"/>
      <w:pPr>
        <w:ind w:left="1440" w:hanging="720"/>
      </w:pPr>
      <w:rPr>
        <w:rFonts w:hint="default"/>
        <w:i w:val="0"/>
        <w:sz w:val="22"/>
      </w:rPr>
    </w:lvl>
    <w:lvl w:ilvl="3">
      <w:start w:val="1"/>
      <w:numFmt w:val="decimal"/>
      <w:lvlText w:val="%1.%2.%3.%4."/>
      <w:lvlJc w:val="left"/>
      <w:pPr>
        <w:ind w:left="2160" w:hanging="1080"/>
      </w:pPr>
      <w:rPr>
        <w:rFonts w:hint="default"/>
        <w:i w:val="0"/>
        <w:sz w:val="22"/>
      </w:rPr>
    </w:lvl>
    <w:lvl w:ilvl="4">
      <w:start w:val="1"/>
      <w:numFmt w:val="decimal"/>
      <w:lvlText w:val="%1.%2.%3.%4.%5."/>
      <w:lvlJc w:val="left"/>
      <w:pPr>
        <w:ind w:left="2520" w:hanging="1080"/>
      </w:pPr>
      <w:rPr>
        <w:rFonts w:hint="default"/>
        <w:i w:val="0"/>
        <w:sz w:val="22"/>
      </w:rPr>
    </w:lvl>
    <w:lvl w:ilvl="5">
      <w:start w:val="1"/>
      <w:numFmt w:val="decimal"/>
      <w:lvlText w:val="%1.%2.%3.%4.%5.%6."/>
      <w:lvlJc w:val="left"/>
      <w:pPr>
        <w:ind w:left="3240" w:hanging="1440"/>
      </w:pPr>
      <w:rPr>
        <w:rFonts w:hint="default"/>
        <w:i w:val="0"/>
        <w:sz w:val="22"/>
      </w:rPr>
    </w:lvl>
    <w:lvl w:ilvl="6">
      <w:start w:val="1"/>
      <w:numFmt w:val="decimal"/>
      <w:lvlText w:val="%1.%2.%3.%4.%5.%6.%7."/>
      <w:lvlJc w:val="left"/>
      <w:pPr>
        <w:ind w:left="3600" w:hanging="1440"/>
      </w:pPr>
      <w:rPr>
        <w:rFonts w:hint="default"/>
        <w:i w:val="0"/>
        <w:sz w:val="22"/>
      </w:rPr>
    </w:lvl>
    <w:lvl w:ilvl="7">
      <w:start w:val="1"/>
      <w:numFmt w:val="decimal"/>
      <w:lvlText w:val="%1.%2.%3.%4.%5.%6.%7.%8."/>
      <w:lvlJc w:val="left"/>
      <w:pPr>
        <w:ind w:left="4320" w:hanging="1800"/>
      </w:pPr>
      <w:rPr>
        <w:rFonts w:hint="default"/>
        <w:i w:val="0"/>
        <w:sz w:val="22"/>
      </w:rPr>
    </w:lvl>
    <w:lvl w:ilvl="8">
      <w:start w:val="1"/>
      <w:numFmt w:val="decimal"/>
      <w:lvlText w:val="%1.%2.%3.%4.%5.%6.%7.%8.%9."/>
      <w:lvlJc w:val="left"/>
      <w:pPr>
        <w:ind w:left="4680" w:hanging="1800"/>
      </w:pPr>
      <w:rPr>
        <w:rFonts w:hint="default"/>
        <w:i w:val="0"/>
        <w:sz w:val="22"/>
      </w:rPr>
    </w:lvl>
  </w:abstractNum>
  <w:abstractNum w:abstractNumId="7" w15:restartNumberingAfterBreak="0">
    <w:nsid w:val="2FFE5D82"/>
    <w:multiLevelType w:val="hybridMultilevel"/>
    <w:tmpl w:val="F1A02A24"/>
    <w:lvl w:ilvl="0" w:tplc="FFAE3BBC">
      <w:start w:val="1"/>
      <w:numFmt w:val="lowerRoman"/>
      <w:lvlText w:val="(%1)"/>
      <w:lvlJc w:val="left"/>
      <w:pPr>
        <w:ind w:left="1080" w:hanging="72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25043ED"/>
    <w:multiLevelType w:val="multilevel"/>
    <w:tmpl w:val="4BA464C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B617ADD"/>
    <w:multiLevelType w:val="multilevel"/>
    <w:tmpl w:val="93C80270"/>
    <w:lvl w:ilvl="0">
      <w:start w:val="5"/>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DCF45F8"/>
    <w:multiLevelType w:val="hybridMultilevel"/>
    <w:tmpl w:val="C5A2700C"/>
    <w:lvl w:ilvl="0" w:tplc="A1AE2D00">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8B47DF"/>
    <w:multiLevelType w:val="hybridMultilevel"/>
    <w:tmpl w:val="158E624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803070F"/>
    <w:multiLevelType w:val="multilevel"/>
    <w:tmpl w:val="079EA6D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441ECD"/>
    <w:multiLevelType w:val="hybridMultilevel"/>
    <w:tmpl w:val="BCC8C0AC"/>
    <w:lvl w:ilvl="0" w:tplc="CBBEDFEA">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794C232D"/>
    <w:multiLevelType w:val="hybridMultilevel"/>
    <w:tmpl w:val="7F764C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5B2EE9"/>
    <w:multiLevelType w:val="multilevel"/>
    <w:tmpl w:val="9932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3A3E31"/>
    <w:multiLevelType w:val="multilevel"/>
    <w:tmpl w:val="6004023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906190284">
    <w:abstractNumId w:val="1"/>
  </w:num>
  <w:num w:numId="2" w16cid:durableId="524246086">
    <w:abstractNumId w:val="4"/>
  </w:num>
  <w:num w:numId="3" w16cid:durableId="916329851">
    <w:abstractNumId w:val="11"/>
  </w:num>
  <w:num w:numId="4" w16cid:durableId="191112320">
    <w:abstractNumId w:val="0"/>
  </w:num>
  <w:num w:numId="5" w16cid:durableId="959529024">
    <w:abstractNumId w:val="3"/>
  </w:num>
  <w:num w:numId="6" w16cid:durableId="1075929967">
    <w:abstractNumId w:val="14"/>
  </w:num>
  <w:num w:numId="7" w16cid:durableId="564338476">
    <w:abstractNumId w:val="12"/>
  </w:num>
  <w:num w:numId="8" w16cid:durableId="55670980">
    <w:abstractNumId w:val="5"/>
  </w:num>
  <w:num w:numId="9" w16cid:durableId="393546809">
    <w:abstractNumId w:val="8"/>
  </w:num>
  <w:num w:numId="10" w16cid:durableId="1002005888">
    <w:abstractNumId w:val="15"/>
  </w:num>
  <w:num w:numId="11" w16cid:durableId="886986024">
    <w:abstractNumId w:val="2"/>
  </w:num>
  <w:num w:numId="12" w16cid:durableId="1662468580">
    <w:abstractNumId w:val="6"/>
  </w:num>
  <w:num w:numId="13" w16cid:durableId="802038941">
    <w:abstractNumId w:val="10"/>
  </w:num>
  <w:num w:numId="14" w16cid:durableId="1016035158">
    <w:abstractNumId w:val="13"/>
  </w:num>
  <w:num w:numId="15" w16cid:durableId="789083774">
    <w:abstractNumId w:val="7"/>
  </w:num>
  <w:num w:numId="16" w16cid:durableId="2123719339">
    <w:abstractNumId w:val="16"/>
  </w:num>
  <w:num w:numId="17" w16cid:durableId="2003508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8B"/>
    <w:rsid w:val="00000DDE"/>
    <w:rsid w:val="000011D1"/>
    <w:rsid w:val="000014E9"/>
    <w:rsid w:val="00001717"/>
    <w:rsid w:val="00001AE4"/>
    <w:rsid w:val="00001FB3"/>
    <w:rsid w:val="00002305"/>
    <w:rsid w:val="000024DB"/>
    <w:rsid w:val="00002822"/>
    <w:rsid w:val="00002E27"/>
    <w:rsid w:val="0000507D"/>
    <w:rsid w:val="00010B96"/>
    <w:rsid w:val="000121A5"/>
    <w:rsid w:val="00012457"/>
    <w:rsid w:val="000126BA"/>
    <w:rsid w:val="0001386F"/>
    <w:rsid w:val="000227E5"/>
    <w:rsid w:val="0002280F"/>
    <w:rsid w:val="00022EB1"/>
    <w:rsid w:val="0002353E"/>
    <w:rsid w:val="0002517F"/>
    <w:rsid w:val="000279E5"/>
    <w:rsid w:val="00030F11"/>
    <w:rsid w:val="0003143C"/>
    <w:rsid w:val="00032CAC"/>
    <w:rsid w:val="00033A40"/>
    <w:rsid w:val="000341FE"/>
    <w:rsid w:val="000342F3"/>
    <w:rsid w:val="00034927"/>
    <w:rsid w:val="00035F85"/>
    <w:rsid w:val="00036076"/>
    <w:rsid w:val="00036701"/>
    <w:rsid w:val="00037954"/>
    <w:rsid w:val="000402C8"/>
    <w:rsid w:val="00040F44"/>
    <w:rsid w:val="00041F0D"/>
    <w:rsid w:val="000430A9"/>
    <w:rsid w:val="000443B6"/>
    <w:rsid w:val="00044833"/>
    <w:rsid w:val="0004507C"/>
    <w:rsid w:val="0004547C"/>
    <w:rsid w:val="00050784"/>
    <w:rsid w:val="00052DA6"/>
    <w:rsid w:val="00055010"/>
    <w:rsid w:val="00055875"/>
    <w:rsid w:val="00056AC9"/>
    <w:rsid w:val="00056B5C"/>
    <w:rsid w:val="0005707E"/>
    <w:rsid w:val="0005737A"/>
    <w:rsid w:val="00057600"/>
    <w:rsid w:val="00062820"/>
    <w:rsid w:val="00064BE5"/>
    <w:rsid w:val="00064D1B"/>
    <w:rsid w:val="000672C9"/>
    <w:rsid w:val="00067A63"/>
    <w:rsid w:val="00070CB6"/>
    <w:rsid w:val="0007119A"/>
    <w:rsid w:val="00072075"/>
    <w:rsid w:val="00072092"/>
    <w:rsid w:val="000720DF"/>
    <w:rsid w:val="000726F2"/>
    <w:rsid w:val="00072C35"/>
    <w:rsid w:val="000730DE"/>
    <w:rsid w:val="000736F0"/>
    <w:rsid w:val="00074094"/>
    <w:rsid w:val="00075853"/>
    <w:rsid w:val="0007607A"/>
    <w:rsid w:val="000766FF"/>
    <w:rsid w:val="000807EA"/>
    <w:rsid w:val="00082490"/>
    <w:rsid w:val="00082848"/>
    <w:rsid w:val="00082852"/>
    <w:rsid w:val="000829D3"/>
    <w:rsid w:val="000834A6"/>
    <w:rsid w:val="0008638F"/>
    <w:rsid w:val="00091E6F"/>
    <w:rsid w:val="0009742D"/>
    <w:rsid w:val="00097734"/>
    <w:rsid w:val="000977CF"/>
    <w:rsid w:val="000A014A"/>
    <w:rsid w:val="000A144F"/>
    <w:rsid w:val="000A1A2A"/>
    <w:rsid w:val="000A1D6B"/>
    <w:rsid w:val="000A3ED3"/>
    <w:rsid w:val="000A4135"/>
    <w:rsid w:val="000A4FD4"/>
    <w:rsid w:val="000A51DE"/>
    <w:rsid w:val="000A5F0F"/>
    <w:rsid w:val="000A631E"/>
    <w:rsid w:val="000A7032"/>
    <w:rsid w:val="000A7683"/>
    <w:rsid w:val="000B053C"/>
    <w:rsid w:val="000B0F78"/>
    <w:rsid w:val="000B13E9"/>
    <w:rsid w:val="000B181B"/>
    <w:rsid w:val="000B2088"/>
    <w:rsid w:val="000B21E9"/>
    <w:rsid w:val="000B410C"/>
    <w:rsid w:val="000B5151"/>
    <w:rsid w:val="000B5E1C"/>
    <w:rsid w:val="000B62D7"/>
    <w:rsid w:val="000B6650"/>
    <w:rsid w:val="000B79B2"/>
    <w:rsid w:val="000C1953"/>
    <w:rsid w:val="000C19FB"/>
    <w:rsid w:val="000C34D0"/>
    <w:rsid w:val="000C415C"/>
    <w:rsid w:val="000C4511"/>
    <w:rsid w:val="000C79DF"/>
    <w:rsid w:val="000C7CC2"/>
    <w:rsid w:val="000C7D2D"/>
    <w:rsid w:val="000D1E3E"/>
    <w:rsid w:val="000D2E88"/>
    <w:rsid w:val="000D43D4"/>
    <w:rsid w:val="000D45E2"/>
    <w:rsid w:val="000D5169"/>
    <w:rsid w:val="000D518D"/>
    <w:rsid w:val="000D51B4"/>
    <w:rsid w:val="000D51D8"/>
    <w:rsid w:val="000D5453"/>
    <w:rsid w:val="000D589B"/>
    <w:rsid w:val="000D72DF"/>
    <w:rsid w:val="000D730C"/>
    <w:rsid w:val="000E1B99"/>
    <w:rsid w:val="000E2019"/>
    <w:rsid w:val="000E2CAD"/>
    <w:rsid w:val="000E2CB0"/>
    <w:rsid w:val="000E2F76"/>
    <w:rsid w:val="000E6AD0"/>
    <w:rsid w:val="000E6EF0"/>
    <w:rsid w:val="000F06C0"/>
    <w:rsid w:val="000F3489"/>
    <w:rsid w:val="000F3A06"/>
    <w:rsid w:val="000F3BED"/>
    <w:rsid w:val="000F4D9E"/>
    <w:rsid w:val="000F59E1"/>
    <w:rsid w:val="00101836"/>
    <w:rsid w:val="001018AB"/>
    <w:rsid w:val="001020C7"/>
    <w:rsid w:val="00102FA0"/>
    <w:rsid w:val="00102FE7"/>
    <w:rsid w:val="00103A2D"/>
    <w:rsid w:val="00103F13"/>
    <w:rsid w:val="001053B8"/>
    <w:rsid w:val="0010737D"/>
    <w:rsid w:val="001104B0"/>
    <w:rsid w:val="00110C72"/>
    <w:rsid w:val="00111C47"/>
    <w:rsid w:val="0011260E"/>
    <w:rsid w:val="001135B7"/>
    <w:rsid w:val="001135CF"/>
    <w:rsid w:val="00113823"/>
    <w:rsid w:val="00113CAE"/>
    <w:rsid w:val="00117A90"/>
    <w:rsid w:val="00121D0F"/>
    <w:rsid w:val="00122570"/>
    <w:rsid w:val="00123905"/>
    <w:rsid w:val="00126343"/>
    <w:rsid w:val="00127890"/>
    <w:rsid w:val="00127EF9"/>
    <w:rsid w:val="001303FA"/>
    <w:rsid w:val="00131315"/>
    <w:rsid w:val="00131408"/>
    <w:rsid w:val="0013199A"/>
    <w:rsid w:val="00137259"/>
    <w:rsid w:val="001375AB"/>
    <w:rsid w:val="00137928"/>
    <w:rsid w:val="00140674"/>
    <w:rsid w:val="00141D5A"/>
    <w:rsid w:val="00141DCB"/>
    <w:rsid w:val="0014206A"/>
    <w:rsid w:val="00142538"/>
    <w:rsid w:val="0014260A"/>
    <w:rsid w:val="00143389"/>
    <w:rsid w:val="00144EF2"/>
    <w:rsid w:val="0014534E"/>
    <w:rsid w:val="00145962"/>
    <w:rsid w:val="0014657F"/>
    <w:rsid w:val="00146C98"/>
    <w:rsid w:val="00147D82"/>
    <w:rsid w:val="00151193"/>
    <w:rsid w:val="0015137F"/>
    <w:rsid w:val="00151649"/>
    <w:rsid w:val="00152AB5"/>
    <w:rsid w:val="00152ECA"/>
    <w:rsid w:val="0015392E"/>
    <w:rsid w:val="001539B9"/>
    <w:rsid w:val="001551F2"/>
    <w:rsid w:val="00156DE6"/>
    <w:rsid w:val="001571A7"/>
    <w:rsid w:val="0015768C"/>
    <w:rsid w:val="001600EF"/>
    <w:rsid w:val="00162708"/>
    <w:rsid w:val="00162A52"/>
    <w:rsid w:val="00162E9B"/>
    <w:rsid w:val="00163B34"/>
    <w:rsid w:val="00166AA5"/>
    <w:rsid w:val="00166C1E"/>
    <w:rsid w:val="00166C7F"/>
    <w:rsid w:val="0016777D"/>
    <w:rsid w:val="00167E73"/>
    <w:rsid w:val="00171AA9"/>
    <w:rsid w:val="00173669"/>
    <w:rsid w:val="00177E8F"/>
    <w:rsid w:val="00177FC5"/>
    <w:rsid w:val="0018162A"/>
    <w:rsid w:val="00182C4E"/>
    <w:rsid w:val="00183B9D"/>
    <w:rsid w:val="0018499A"/>
    <w:rsid w:val="001849FF"/>
    <w:rsid w:val="001852E6"/>
    <w:rsid w:val="00185E0B"/>
    <w:rsid w:val="0018746E"/>
    <w:rsid w:val="001879A3"/>
    <w:rsid w:val="00190C6A"/>
    <w:rsid w:val="001917A6"/>
    <w:rsid w:val="00192030"/>
    <w:rsid w:val="0019216F"/>
    <w:rsid w:val="0019465E"/>
    <w:rsid w:val="00196566"/>
    <w:rsid w:val="001965E2"/>
    <w:rsid w:val="001A0383"/>
    <w:rsid w:val="001A17AD"/>
    <w:rsid w:val="001A1BCD"/>
    <w:rsid w:val="001A2140"/>
    <w:rsid w:val="001A215B"/>
    <w:rsid w:val="001A2389"/>
    <w:rsid w:val="001A398E"/>
    <w:rsid w:val="001A3CF0"/>
    <w:rsid w:val="001A3FC1"/>
    <w:rsid w:val="001A5012"/>
    <w:rsid w:val="001A6BE0"/>
    <w:rsid w:val="001B00A5"/>
    <w:rsid w:val="001B1B4A"/>
    <w:rsid w:val="001B1DE0"/>
    <w:rsid w:val="001B1F4C"/>
    <w:rsid w:val="001B21A2"/>
    <w:rsid w:val="001B2717"/>
    <w:rsid w:val="001B305A"/>
    <w:rsid w:val="001B34A3"/>
    <w:rsid w:val="001B39E2"/>
    <w:rsid w:val="001B42EB"/>
    <w:rsid w:val="001B4512"/>
    <w:rsid w:val="001B5CBA"/>
    <w:rsid w:val="001B62CD"/>
    <w:rsid w:val="001B76A4"/>
    <w:rsid w:val="001B7F86"/>
    <w:rsid w:val="001C0EC3"/>
    <w:rsid w:val="001C279F"/>
    <w:rsid w:val="001C27F5"/>
    <w:rsid w:val="001C2F0B"/>
    <w:rsid w:val="001C30B3"/>
    <w:rsid w:val="001C3940"/>
    <w:rsid w:val="001C4AD6"/>
    <w:rsid w:val="001C6F60"/>
    <w:rsid w:val="001C7CBD"/>
    <w:rsid w:val="001D0D6C"/>
    <w:rsid w:val="001D17E4"/>
    <w:rsid w:val="001D266C"/>
    <w:rsid w:val="001D3122"/>
    <w:rsid w:val="001D5621"/>
    <w:rsid w:val="001D5EB2"/>
    <w:rsid w:val="001D66ED"/>
    <w:rsid w:val="001E10C9"/>
    <w:rsid w:val="001E1E3B"/>
    <w:rsid w:val="001E286F"/>
    <w:rsid w:val="001E3512"/>
    <w:rsid w:val="001E4ACC"/>
    <w:rsid w:val="001E5933"/>
    <w:rsid w:val="001F0B9A"/>
    <w:rsid w:val="001F1F91"/>
    <w:rsid w:val="001F4017"/>
    <w:rsid w:val="001F41E0"/>
    <w:rsid w:val="001F4491"/>
    <w:rsid w:val="001F5300"/>
    <w:rsid w:val="001F551C"/>
    <w:rsid w:val="001F7078"/>
    <w:rsid w:val="001F7C78"/>
    <w:rsid w:val="002002FC"/>
    <w:rsid w:val="00200851"/>
    <w:rsid w:val="002011B8"/>
    <w:rsid w:val="002018F2"/>
    <w:rsid w:val="00203EDA"/>
    <w:rsid w:val="00204067"/>
    <w:rsid w:val="002043D6"/>
    <w:rsid w:val="00204DEC"/>
    <w:rsid w:val="00205850"/>
    <w:rsid w:val="00205B20"/>
    <w:rsid w:val="00205D62"/>
    <w:rsid w:val="00206326"/>
    <w:rsid w:val="00206F64"/>
    <w:rsid w:val="002071EE"/>
    <w:rsid w:val="00207E8E"/>
    <w:rsid w:val="002100B2"/>
    <w:rsid w:val="00211D75"/>
    <w:rsid w:val="002139DA"/>
    <w:rsid w:val="0021460C"/>
    <w:rsid w:val="002154A0"/>
    <w:rsid w:val="00215954"/>
    <w:rsid w:val="002159F0"/>
    <w:rsid w:val="0021671D"/>
    <w:rsid w:val="0021751C"/>
    <w:rsid w:val="002205F8"/>
    <w:rsid w:val="00220C4F"/>
    <w:rsid w:val="00221434"/>
    <w:rsid w:val="00221919"/>
    <w:rsid w:val="00223491"/>
    <w:rsid w:val="00223C21"/>
    <w:rsid w:val="00223D2F"/>
    <w:rsid w:val="0022412E"/>
    <w:rsid w:val="002246B4"/>
    <w:rsid w:val="00225A91"/>
    <w:rsid w:val="00226476"/>
    <w:rsid w:val="00226862"/>
    <w:rsid w:val="00227140"/>
    <w:rsid w:val="0022725E"/>
    <w:rsid w:val="00231447"/>
    <w:rsid w:val="00233A5B"/>
    <w:rsid w:val="00235F7E"/>
    <w:rsid w:val="00240767"/>
    <w:rsid w:val="00241211"/>
    <w:rsid w:val="00241595"/>
    <w:rsid w:val="00242ADF"/>
    <w:rsid w:val="00242DCC"/>
    <w:rsid w:val="00242E11"/>
    <w:rsid w:val="0024423E"/>
    <w:rsid w:val="00244A7A"/>
    <w:rsid w:val="00244EA3"/>
    <w:rsid w:val="00245487"/>
    <w:rsid w:val="002461E0"/>
    <w:rsid w:val="00247BEE"/>
    <w:rsid w:val="002503D7"/>
    <w:rsid w:val="00251925"/>
    <w:rsid w:val="00251E59"/>
    <w:rsid w:val="00252417"/>
    <w:rsid w:val="002527CE"/>
    <w:rsid w:val="0025368D"/>
    <w:rsid w:val="00254A14"/>
    <w:rsid w:val="00254FAD"/>
    <w:rsid w:val="002567B7"/>
    <w:rsid w:val="002570A2"/>
    <w:rsid w:val="00257705"/>
    <w:rsid w:val="00262E56"/>
    <w:rsid w:val="00262EA9"/>
    <w:rsid w:val="002645A3"/>
    <w:rsid w:val="002649F0"/>
    <w:rsid w:val="00264FC0"/>
    <w:rsid w:val="00265296"/>
    <w:rsid w:val="002654EB"/>
    <w:rsid w:val="002657C7"/>
    <w:rsid w:val="00266E44"/>
    <w:rsid w:val="00267354"/>
    <w:rsid w:val="00267444"/>
    <w:rsid w:val="00267CF2"/>
    <w:rsid w:val="002700E2"/>
    <w:rsid w:val="002709E8"/>
    <w:rsid w:val="00270A06"/>
    <w:rsid w:val="00270D11"/>
    <w:rsid w:val="002716B7"/>
    <w:rsid w:val="00272CC9"/>
    <w:rsid w:val="002734FC"/>
    <w:rsid w:val="002751BF"/>
    <w:rsid w:val="0027621B"/>
    <w:rsid w:val="002811CD"/>
    <w:rsid w:val="00281286"/>
    <w:rsid w:val="002821E5"/>
    <w:rsid w:val="0028226F"/>
    <w:rsid w:val="002829BF"/>
    <w:rsid w:val="00282A6C"/>
    <w:rsid w:val="002838B0"/>
    <w:rsid w:val="002840EA"/>
    <w:rsid w:val="002840EB"/>
    <w:rsid w:val="00284D7F"/>
    <w:rsid w:val="00285F13"/>
    <w:rsid w:val="002876CF"/>
    <w:rsid w:val="002901A6"/>
    <w:rsid w:val="00290D31"/>
    <w:rsid w:val="0029546E"/>
    <w:rsid w:val="00295980"/>
    <w:rsid w:val="00297043"/>
    <w:rsid w:val="00297509"/>
    <w:rsid w:val="002A3A82"/>
    <w:rsid w:val="002A6CFE"/>
    <w:rsid w:val="002A6D8A"/>
    <w:rsid w:val="002B1A09"/>
    <w:rsid w:val="002B2725"/>
    <w:rsid w:val="002B2C33"/>
    <w:rsid w:val="002B2E66"/>
    <w:rsid w:val="002B37DB"/>
    <w:rsid w:val="002B38AB"/>
    <w:rsid w:val="002B51A7"/>
    <w:rsid w:val="002B74DE"/>
    <w:rsid w:val="002C131E"/>
    <w:rsid w:val="002C5C59"/>
    <w:rsid w:val="002D1D88"/>
    <w:rsid w:val="002D20C8"/>
    <w:rsid w:val="002D2574"/>
    <w:rsid w:val="002D2CC5"/>
    <w:rsid w:val="002D36A3"/>
    <w:rsid w:val="002D3D99"/>
    <w:rsid w:val="002D56B9"/>
    <w:rsid w:val="002D5ED9"/>
    <w:rsid w:val="002D6861"/>
    <w:rsid w:val="002D7AD0"/>
    <w:rsid w:val="002E01C5"/>
    <w:rsid w:val="002E036E"/>
    <w:rsid w:val="002E1E19"/>
    <w:rsid w:val="002E3645"/>
    <w:rsid w:val="002E54DB"/>
    <w:rsid w:val="002E6162"/>
    <w:rsid w:val="002E66B5"/>
    <w:rsid w:val="002E7A26"/>
    <w:rsid w:val="002F0CF9"/>
    <w:rsid w:val="002F0D92"/>
    <w:rsid w:val="002F2327"/>
    <w:rsid w:val="002F23C7"/>
    <w:rsid w:val="002F27D1"/>
    <w:rsid w:val="002F5204"/>
    <w:rsid w:val="002F6263"/>
    <w:rsid w:val="002F6D1F"/>
    <w:rsid w:val="002F737B"/>
    <w:rsid w:val="00300244"/>
    <w:rsid w:val="003006C4"/>
    <w:rsid w:val="0030142A"/>
    <w:rsid w:val="00302370"/>
    <w:rsid w:val="0030243A"/>
    <w:rsid w:val="003038CE"/>
    <w:rsid w:val="00304394"/>
    <w:rsid w:val="00304736"/>
    <w:rsid w:val="00304B34"/>
    <w:rsid w:val="00304E29"/>
    <w:rsid w:val="00305C16"/>
    <w:rsid w:val="00305E70"/>
    <w:rsid w:val="00305E77"/>
    <w:rsid w:val="00306307"/>
    <w:rsid w:val="003112C9"/>
    <w:rsid w:val="00314B0B"/>
    <w:rsid w:val="00314E18"/>
    <w:rsid w:val="00316009"/>
    <w:rsid w:val="00317121"/>
    <w:rsid w:val="00317A29"/>
    <w:rsid w:val="0032014B"/>
    <w:rsid w:val="00320827"/>
    <w:rsid w:val="00321C51"/>
    <w:rsid w:val="003226A8"/>
    <w:rsid w:val="00322D1B"/>
    <w:rsid w:val="00323F91"/>
    <w:rsid w:val="00325A00"/>
    <w:rsid w:val="00327214"/>
    <w:rsid w:val="003278A8"/>
    <w:rsid w:val="0033078E"/>
    <w:rsid w:val="00332B1C"/>
    <w:rsid w:val="00333B18"/>
    <w:rsid w:val="00334198"/>
    <w:rsid w:val="0034087C"/>
    <w:rsid w:val="00341042"/>
    <w:rsid w:val="00341108"/>
    <w:rsid w:val="00341598"/>
    <w:rsid w:val="003424F4"/>
    <w:rsid w:val="00346617"/>
    <w:rsid w:val="003476E6"/>
    <w:rsid w:val="003519E1"/>
    <w:rsid w:val="00351CB0"/>
    <w:rsid w:val="003530FB"/>
    <w:rsid w:val="003531AE"/>
    <w:rsid w:val="0035412D"/>
    <w:rsid w:val="00354AE7"/>
    <w:rsid w:val="0035559C"/>
    <w:rsid w:val="003556EA"/>
    <w:rsid w:val="00357213"/>
    <w:rsid w:val="00360712"/>
    <w:rsid w:val="003617A3"/>
    <w:rsid w:val="0036182C"/>
    <w:rsid w:val="00362F48"/>
    <w:rsid w:val="00362F55"/>
    <w:rsid w:val="00363837"/>
    <w:rsid w:val="003641E3"/>
    <w:rsid w:val="00364E22"/>
    <w:rsid w:val="00365EBA"/>
    <w:rsid w:val="00366678"/>
    <w:rsid w:val="0036693D"/>
    <w:rsid w:val="00366998"/>
    <w:rsid w:val="00367E98"/>
    <w:rsid w:val="003702CF"/>
    <w:rsid w:val="00370640"/>
    <w:rsid w:val="00370677"/>
    <w:rsid w:val="00370A8C"/>
    <w:rsid w:val="00372361"/>
    <w:rsid w:val="00373FB2"/>
    <w:rsid w:val="003740B7"/>
    <w:rsid w:val="003745BB"/>
    <w:rsid w:val="00374654"/>
    <w:rsid w:val="00375BF3"/>
    <w:rsid w:val="003770DF"/>
    <w:rsid w:val="00380DA5"/>
    <w:rsid w:val="00380E17"/>
    <w:rsid w:val="00381BB6"/>
    <w:rsid w:val="00383E40"/>
    <w:rsid w:val="00385069"/>
    <w:rsid w:val="003864E9"/>
    <w:rsid w:val="00386AB5"/>
    <w:rsid w:val="00387742"/>
    <w:rsid w:val="00390376"/>
    <w:rsid w:val="00390799"/>
    <w:rsid w:val="00393108"/>
    <w:rsid w:val="003939C4"/>
    <w:rsid w:val="00394A00"/>
    <w:rsid w:val="003951BF"/>
    <w:rsid w:val="003959C4"/>
    <w:rsid w:val="00397AE8"/>
    <w:rsid w:val="00397B43"/>
    <w:rsid w:val="003A0AAF"/>
    <w:rsid w:val="003A125E"/>
    <w:rsid w:val="003A3799"/>
    <w:rsid w:val="003A6293"/>
    <w:rsid w:val="003A665B"/>
    <w:rsid w:val="003A776D"/>
    <w:rsid w:val="003B0347"/>
    <w:rsid w:val="003B1F32"/>
    <w:rsid w:val="003B43A1"/>
    <w:rsid w:val="003C4047"/>
    <w:rsid w:val="003C4C81"/>
    <w:rsid w:val="003C543A"/>
    <w:rsid w:val="003C76F4"/>
    <w:rsid w:val="003D077B"/>
    <w:rsid w:val="003D1C70"/>
    <w:rsid w:val="003D42CD"/>
    <w:rsid w:val="003D4656"/>
    <w:rsid w:val="003D4D4A"/>
    <w:rsid w:val="003D653A"/>
    <w:rsid w:val="003D6C5F"/>
    <w:rsid w:val="003D6D4C"/>
    <w:rsid w:val="003D706E"/>
    <w:rsid w:val="003D7289"/>
    <w:rsid w:val="003E001F"/>
    <w:rsid w:val="003E0B75"/>
    <w:rsid w:val="003E32A9"/>
    <w:rsid w:val="003E3914"/>
    <w:rsid w:val="003E4FE1"/>
    <w:rsid w:val="003E5475"/>
    <w:rsid w:val="003E635C"/>
    <w:rsid w:val="003E64C1"/>
    <w:rsid w:val="003E75FC"/>
    <w:rsid w:val="003F2BA9"/>
    <w:rsid w:val="003F3DCA"/>
    <w:rsid w:val="003F41C0"/>
    <w:rsid w:val="003F46CA"/>
    <w:rsid w:val="003F5AE8"/>
    <w:rsid w:val="003F6FF8"/>
    <w:rsid w:val="003F7133"/>
    <w:rsid w:val="003F78C9"/>
    <w:rsid w:val="003F7E00"/>
    <w:rsid w:val="00400112"/>
    <w:rsid w:val="0040253D"/>
    <w:rsid w:val="004025A4"/>
    <w:rsid w:val="00402C51"/>
    <w:rsid w:val="00402F6C"/>
    <w:rsid w:val="00404455"/>
    <w:rsid w:val="00404BAD"/>
    <w:rsid w:val="00404F64"/>
    <w:rsid w:val="004069B8"/>
    <w:rsid w:val="0040730C"/>
    <w:rsid w:val="00407B82"/>
    <w:rsid w:val="0041010C"/>
    <w:rsid w:val="00410C75"/>
    <w:rsid w:val="00412F00"/>
    <w:rsid w:val="00413442"/>
    <w:rsid w:val="004135E7"/>
    <w:rsid w:val="00413650"/>
    <w:rsid w:val="00413745"/>
    <w:rsid w:val="00414C08"/>
    <w:rsid w:val="0041525C"/>
    <w:rsid w:val="00416DBF"/>
    <w:rsid w:val="00417BAA"/>
    <w:rsid w:val="004204AC"/>
    <w:rsid w:val="00421782"/>
    <w:rsid w:val="00423D4C"/>
    <w:rsid w:val="00423E14"/>
    <w:rsid w:val="00423FD8"/>
    <w:rsid w:val="00424A40"/>
    <w:rsid w:val="004265F0"/>
    <w:rsid w:val="004268CD"/>
    <w:rsid w:val="004271C1"/>
    <w:rsid w:val="00427E98"/>
    <w:rsid w:val="004303D1"/>
    <w:rsid w:val="00431DBC"/>
    <w:rsid w:val="00433187"/>
    <w:rsid w:val="00433529"/>
    <w:rsid w:val="00433652"/>
    <w:rsid w:val="00434A91"/>
    <w:rsid w:val="00436B6F"/>
    <w:rsid w:val="00436E97"/>
    <w:rsid w:val="00440C97"/>
    <w:rsid w:val="00441626"/>
    <w:rsid w:val="00441658"/>
    <w:rsid w:val="004418B1"/>
    <w:rsid w:val="00441E7F"/>
    <w:rsid w:val="0044397D"/>
    <w:rsid w:val="00446805"/>
    <w:rsid w:val="0045108F"/>
    <w:rsid w:val="0045127B"/>
    <w:rsid w:val="0045400E"/>
    <w:rsid w:val="00456698"/>
    <w:rsid w:val="004576A3"/>
    <w:rsid w:val="00457757"/>
    <w:rsid w:val="00457A45"/>
    <w:rsid w:val="00457C41"/>
    <w:rsid w:val="00457D30"/>
    <w:rsid w:val="004600DA"/>
    <w:rsid w:val="0046064F"/>
    <w:rsid w:val="00462E3B"/>
    <w:rsid w:val="004648C4"/>
    <w:rsid w:val="0046676F"/>
    <w:rsid w:val="00467334"/>
    <w:rsid w:val="00467EB4"/>
    <w:rsid w:val="004716F0"/>
    <w:rsid w:val="00471CDC"/>
    <w:rsid w:val="004737C0"/>
    <w:rsid w:val="004744F3"/>
    <w:rsid w:val="00475F55"/>
    <w:rsid w:val="00476E62"/>
    <w:rsid w:val="00476F11"/>
    <w:rsid w:val="004813B7"/>
    <w:rsid w:val="0048383D"/>
    <w:rsid w:val="004848D2"/>
    <w:rsid w:val="00486263"/>
    <w:rsid w:val="00486726"/>
    <w:rsid w:val="00487D79"/>
    <w:rsid w:val="0049098B"/>
    <w:rsid w:val="0049135B"/>
    <w:rsid w:val="004916BF"/>
    <w:rsid w:val="00494ED7"/>
    <w:rsid w:val="0049590C"/>
    <w:rsid w:val="00496B1F"/>
    <w:rsid w:val="00496FAE"/>
    <w:rsid w:val="004A0CCE"/>
    <w:rsid w:val="004A1201"/>
    <w:rsid w:val="004A17A1"/>
    <w:rsid w:val="004A25B2"/>
    <w:rsid w:val="004A344A"/>
    <w:rsid w:val="004A457A"/>
    <w:rsid w:val="004A6387"/>
    <w:rsid w:val="004B0E85"/>
    <w:rsid w:val="004B22A5"/>
    <w:rsid w:val="004B24F0"/>
    <w:rsid w:val="004B2B40"/>
    <w:rsid w:val="004B3BBD"/>
    <w:rsid w:val="004B6B5F"/>
    <w:rsid w:val="004C05F9"/>
    <w:rsid w:val="004C2070"/>
    <w:rsid w:val="004C21FD"/>
    <w:rsid w:val="004C352F"/>
    <w:rsid w:val="004C3ED5"/>
    <w:rsid w:val="004C40FB"/>
    <w:rsid w:val="004C41BC"/>
    <w:rsid w:val="004C45CD"/>
    <w:rsid w:val="004C7984"/>
    <w:rsid w:val="004C7DE2"/>
    <w:rsid w:val="004D014A"/>
    <w:rsid w:val="004D0A4B"/>
    <w:rsid w:val="004D16DE"/>
    <w:rsid w:val="004D1EE0"/>
    <w:rsid w:val="004D23A6"/>
    <w:rsid w:val="004D3847"/>
    <w:rsid w:val="004D3DDC"/>
    <w:rsid w:val="004D5228"/>
    <w:rsid w:val="004D5E4B"/>
    <w:rsid w:val="004D78E2"/>
    <w:rsid w:val="004D7BC9"/>
    <w:rsid w:val="004E0162"/>
    <w:rsid w:val="004E29AB"/>
    <w:rsid w:val="004E40B0"/>
    <w:rsid w:val="004E4B45"/>
    <w:rsid w:val="004E5522"/>
    <w:rsid w:val="004E60BA"/>
    <w:rsid w:val="004E619A"/>
    <w:rsid w:val="004E65A5"/>
    <w:rsid w:val="004F03C6"/>
    <w:rsid w:val="004F0B96"/>
    <w:rsid w:val="004F0BC1"/>
    <w:rsid w:val="004F0D1A"/>
    <w:rsid w:val="004F2390"/>
    <w:rsid w:val="004F2933"/>
    <w:rsid w:val="004F3F7E"/>
    <w:rsid w:val="004F734A"/>
    <w:rsid w:val="004F7AD8"/>
    <w:rsid w:val="00500AF5"/>
    <w:rsid w:val="00500DD9"/>
    <w:rsid w:val="00501AE0"/>
    <w:rsid w:val="00501DF3"/>
    <w:rsid w:val="00501F0A"/>
    <w:rsid w:val="00502CD3"/>
    <w:rsid w:val="00503C0D"/>
    <w:rsid w:val="00506ED4"/>
    <w:rsid w:val="00510737"/>
    <w:rsid w:val="00511922"/>
    <w:rsid w:val="00511E42"/>
    <w:rsid w:val="0051289E"/>
    <w:rsid w:val="00512EFF"/>
    <w:rsid w:val="00513675"/>
    <w:rsid w:val="00514D3D"/>
    <w:rsid w:val="00516187"/>
    <w:rsid w:val="005165CF"/>
    <w:rsid w:val="00517D63"/>
    <w:rsid w:val="00520746"/>
    <w:rsid w:val="0052086F"/>
    <w:rsid w:val="00520986"/>
    <w:rsid w:val="00520A08"/>
    <w:rsid w:val="005215FC"/>
    <w:rsid w:val="0052173E"/>
    <w:rsid w:val="005217A5"/>
    <w:rsid w:val="005228E6"/>
    <w:rsid w:val="00524CB9"/>
    <w:rsid w:val="00526D80"/>
    <w:rsid w:val="005272D1"/>
    <w:rsid w:val="00531DEF"/>
    <w:rsid w:val="00532277"/>
    <w:rsid w:val="005327EF"/>
    <w:rsid w:val="00532E1F"/>
    <w:rsid w:val="00532E2F"/>
    <w:rsid w:val="005348BA"/>
    <w:rsid w:val="005358F5"/>
    <w:rsid w:val="00535993"/>
    <w:rsid w:val="00535C7A"/>
    <w:rsid w:val="005365BD"/>
    <w:rsid w:val="005367F8"/>
    <w:rsid w:val="005379A9"/>
    <w:rsid w:val="00537ABF"/>
    <w:rsid w:val="00537C32"/>
    <w:rsid w:val="005403A2"/>
    <w:rsid w:val="00542401"/>
    <w:rsid w:val="00542EA0"/>
    <w:rsid w:val="005447CC"/>
    <w:rsid w:val="00544E88"/>
    <w:rsid w:val="0054626A"/>
    <w:rsid w:val="00550ACD"/>
    <w:rsid w:val="005515A1"/>
    <w:rsid w:val="005520DB"/>
    <w:rsid w:val="005545C6"/>
    <w:rsid w:val="00554723"/>
    <w:rsid w:val="0055475E"/>
    <w:rsid w:val="0055594D"/>
    <w:rsid w:val="00555DAA"/>
    <w:rsid w:val="00555EBF"/>
    <w:rsid w:val="005561E9"/>
    <w:rsid w:val="005574B9"/>
    <w:rsid w:val="00557D5A"/>
    <w:rsid w:val="0056088B"/>
    <w:rsid w:val="00560A80"/>
    <w:rsid w:val="005612F3"/>
    <w:rsid w:val="00561799"/>
    <w:rsid w:val="00561B1A"/>
    <w:rsid w:val="005629BA"/>
    <w:rsid w:val="00563580"/>
    <w:rsid w:val="00563A94"/>
    <w:rsid w:val="00564865"/>
    <w:rsid w:val="00565A01"/>
    <w:rsid w:val="00565E17"/>
    <w:rsid w:val="00567EAB"/>
    <w:rsid w:val="0057171A"/>
    <w:rsid w:val="00571922"/>
    <w:rsid w:val="0057224A"/>
    <w:rsid w:val="005724C6"/>
    <w:rsid w:val="00573B69"/>
    <w:rsid w:val="00574CFA"/>
    <w:rsid w:val="00577639"/>
    <w:rsid w:val="00577F7B"/>
    <w:rsid w:val="00581B2F"/>
    <w:rsid w:val="00581E8F"/>
    <w:rsid w:val="0058218F"/>
    <w:rsid w:val="00583BFE"/>
    <w:rsid w:val="00584271"/>
    <w:rsid w:val="00584514"/>
    <w:rsid w:val="00584AB3"/>
    <w:rsid w:val="005870AF"/>
    <w:rsid w:val="005875A6"/>
    <w:rsid w:val="00591D9D"/>
    <w:rsid w:val="00592E3F"/>
    <w:rsid w:val="0059389A"/>
    <w:rsid w:val="00593C4A"/>
    <w:rsid w:val="00595395"/>
    <w:rsid w:val="00595E62"/>
    <w:rsid w:val="0059648A"/>
    <w:rsid w:val="005A23BC"/>
    <w:rsid w:val="005A2589"/>
    <w:rsid w:val="005A3031"/>
    <w:rsid w:val="005A311F"/>
    <w:rsid w:val="005A5BE1"/>
    <w:rsid w:val="005A6125"/>
    <w:rsid w:val="005A7422"/>
    <w:rsid w:val="005B29F4"/>
    <w:rsid w:val="005B39DF"/>
    <w:rsid w:val="005B53C2"/>
    <w:rsid w:val="005B7691"/>
    <w:rsid w:val="005C045C"/>
    <w:rsid w:val="005C1920"/>
    <w:rsid w:val="005C1AE4"/>
    <w:rsid w:val="005C1B11"/>
    <w:rsid w:val="005C30CA"/>
    <w:rsid w:val="005C549D"/>
    <w:rsid w:val="005C7370"/>
    <w:rsid w:val="005D0BF9"/>
    <w:rsid w:val="005D12ED"/>
    <w:rsid w:val="005D131F"/>
    <w:rsid w:val="005D1CA6"/>
    <w:rsid w:val="005D32BB"/>
    <w:rsid w:val="005D35FE"/>
    <w:rsid w:val="005D50F4"/>
    <w:rsid w:val="005D790C"/>
    <w:rsid w:val="005E0904"/>
    <w:rsid w:val="005E1383"/>
    <w:rsid w:val="005E34DD"/>
    <w:rsid w:val="005E3700"/>
    <w:rsid w:val="005E5822"/>
    <w:rsid w:val="005E6A83"/>
    <w:rsid w:val="005E7C97"/>
    <w:rsid w:val="005F0B33"/>
    <w:rsid w:val="005F1E51"/>
    <w:rsid w:val="005F2D21"/>
    <w:rsid w:val="005F439A"/>
    <w:rsid w:val="005F595C"/>
    <w:rsid w:val="005F5A97"/>
    <w:rsid w:val="005F6CA7"/>
    <w:rsid w:val="006022DC"/>
    <w:rsid w:val="00603443"/>
    <w:rsid w:val="006037E5"/>
    <w:rsid w:val="00603D90"/>
    <w:rsid w:val="006047CC"/>
    <w:rsid w:val="00604895"/>
    <w:rsid w:val="00606333"/>
    <w:rsid w:val="0060635B"/>
    <w:rsid w:val="00606426"/>
    <w:rsid w:val="006073E8"/>
    <w:rsid w:val="00611404"/>
    <w:rsid w:val="006116DC"/>
    <w:rsid w:val="0061241F"/>
    <w:rsid w:val="00615C81"/>
    <w:rsid w:val="00615F86"/>
    <w:rsid w:val="00616068"/>
    <w:rsid w:val="00616905"/>
    <w:rsid w:val="0062141A"/>
    <w:rsid w:val="00623E9E"/>
    <w:rsid w:val="00625194"/>
    <w:rsid w:val="0062700E"/>
    <w:rsid w:val="00630F66"/>
    <w:rsid w:val="0063200D"/>
    <w:rsid w:val="00633284"/>
    <w:rsid w:val="00633A82"/>
    <w:rsid w:val="00636169"/>
    <w:rsid w:val="00636CD9"/>
    <w:rsid w:val="00637263"/>
    <w:rsid w:val="00637300"/>
    <w:rsid w:val="0063766D"/>
    <w:rsid w:val="006401FB"/>
    <w:rsid w:val="00641B61"/>
    <w:rsid w:val="00642399"/>
    <w:rsid w:val="006424B9"/>
    <w:rsid w:val="006425A0"/>
    <w:rsid w:val="006437A3"/>
    <w:rsid w:val="00643F0E"/>
    <w:rsid w:val="00643FC3"/>
    <w:rsid w:val="0064426B"/>
    <w:rsid w:val="00644BFD"/>
    <w:rsid w:val="00645BEE"/>
    <w:rsid w:val="0064618E"/>
    <w:rsid w:val="006467DD"/>
    <w:rsid w:val="0064713E"/>
    <w:rsid w:val="0064738E"/>
    <w:rsid w:val="00650F24"/>
    <w:rsid w:val="00652F56"/>
    <w:rsid w:val="00654C64"/>
    <w:rsid w:val="006564D3"/>
    <w:rsid w:val="00656899"/>
    <w:rsid w:val="00657852"/>
    <w:rsid w:val="00657991"/>
    <w:rsid w:val="00660132"/>
    <w:rsid w:val="00660C50"/>
    <w:rsid w:val="00661247"/>
    <w:rsid w:val="006612A2"/>
    <w:rsid w:val="00662860"/>
    <w:rsid w:val="0066302B"/>
    <w:rsid w:val="006659D5"/>
    <w:rsid w:val="0066754E"/>
    <w:rsid w:val="006676CF"/>
    <w:rsid w:val="00667C63"/>
    <w:rsid w:val="00670C5F"/>
    <w:rsid w:val="00672B89"/>
    <w:rsid w:val="006733D9"/>
    <w:rsid w:val="00674C7F"/>
    <w:rsid w:val="00676B5F"/>
    <w:rsid w:val="00677BD1"/>
    <w:rsid w:val="0068073A"/>
    <w:rsid w:val="006816E2"/>
    <w:rsid w:val="006827B4"/>
    <w:rsid w:val="00682C11"/>
    <w:rsid w:val="00684EB9"/>
    <w:rsid w:val="00684FAB"/>
    <w:rsid w:val="00685102"/>
    <w:rsid w:val="006854C8"/>
    <w:rsid w:val="00685703"/>
    <w:rsid w:val="00685C96"/>
    <w:rsid w:val="00686CBD"/>
    <w:rsid w:val="0069160B"/>
    <w:rsid w:val="00692FF1"/>
    <w:rsid w:val="0069318B"/>
    <w:rsid w:val="00693D23"/>
    <w:rsid w:val="00694622"/>
    <w:rsid w:val="00695193"/>
    <w:rsid w:val="006956A2"/>
    <w:rsid w:val="00695B7D"/>
    <w:rsid w:val="006973BF"/>
    <w:rsid w:val="00697A52"/>
    <w:rsid w:val="00697BFF"/>
    <w:rsid w:val="006A01DA"/>
    <w:rsid w:val="006A0779"/>
    <w:rsid w:val="006A093E"/>
    <w:rsid w:val="006A1A0A"/>
    <w:rsid w:val="006A1B64"/>
    <w:rsid w:val="006A3D1E"/>
    <w:rsid w:val="006A5273"/>
    <w:rsid w:val="006A5D11"/>
    <w:rsid w:val="006A5E51"/>
    <w:rsid w:val="006A5ED4"/>
    <w:rsid w:val="006A6514"/>
    <w:rsid w:val="006A6E5C"/>
    <w:rsid w:val="006A7B20"/>
    <w:rsid w:val="006B08E1"/>
    <w:rsid w:val="006B2321"/>
    <w:rsid w:val="006B36DD"/>
    <w:rsid w:val="006B4872"/>
    <w:rsid w:val="006B50A8"/>
    <w:rsid w:val="006B5A81"/>
    <w:rsid w:val="006B635F"/>
    <w:rsid w:val="006B6451"/>
    <w:rsid w:val="006B7252"/>
    <w:rsid w:val="006C0771"/>
    <w:rsid w:val="006C1176"/>
    <w:rsid w:val="006C1AB5"/>
    <w:rsid w:val="006C1EEC"/>
    <w:rsid w:val="006C2537"/>
    <w:rsid w:val="006C2DF9"/>
    <w:rsid w:val="006C34F5"/>
    <w:rsid w:val="006C370C"/>
    <w:rsid w:val="006C3B06"/>
    <w:rsid w:val="006C3DC6"/>
    <w:rsid w:val="006C4C08"/>
    <w:rsid w:val="006C7895"/>
    <w:rsid w:val="006C7A56"/>
    <w:rsid w:val="006C7C39"/>
    <w:rsid w:val="006D0118"/>
    <w:rsid w:val="006D1ADF"/>
    <w:rsid w:val="006D1C89"/>
    <w:rsid w:val="006D2512"/>
    <w:rsid w:val="006D274E"/>
    <w:rsid w:val="006D3A7E"/>
    <w:rsid w:val="006D484A"/>
    <w:rsid w:val="006D62BB"/>
    <w:rsid w:val="006D6DBE"/>
    <w:rsid w:val="006D713D"/>
    <w:rsid w:val="006D726A"/>
    <w:rsid w:val="006D798C"/>
    <w:rsid w:val="006E1620"/>
    <w:rsid w:val="006E219A"/>
    <w:rsid w:val="006E2688"/>
    <w:rsid w:val="006E2B82"/>
    <w:rsid w:val="006E3ED3"/>
    <w:rsid w:val="006E6696"/>
    <w:rsid w:val="006E7092"/>
    <w:rsid w:val="006F3531"/>
    <w:rsid w:val="006F4907"/>
    <w:rsid w:val="006F56BE"/>
    <w:rsid w:val="006F7E37"/>
    <w:rsid w:val="006F7F68"/>
    <w:rsid w:val="00703C82"/>
    <w:rsid w:val="007045AF"/>
    <w:rsid w:val="00705FC5"/>
    <w:rsid w:val="00706BD8"/>
    <w:rsid w:val="00707093"/>
    <w:rsid w:val="00707913"/>
    <w:rsid w:val="00710F6E"/>
    <w:rsid w:val="007114E8"/>
    <w:rsid w:val="00711B67"/>
    <w:rsid w:val="00711EA4"/>
    <w:rsid w:val="00712A93"/>
    <w:rsid w:val="00713B36"/>
    <w:rsid w:val="007142C5"/>
    <w:rsid w:val="00715AE3"/>
    <w:rsid w:val="007208DB"/>
    <w:rsid w:val="007209E3"/>
    <w:rsid w:val="00720F02"/>
    <w:rsid w:val="00721437"/>
    <w:rsid w:val="00721F39"/>
    <w:rsid w:val="007239CE"/>
    <w:rsid w:val="00726A78"/>
    <w:rsid w:val="007270EE"/>
    <w:rsid w:val="0072791E"/>
    <w:rsid w:val="007315FB"/>
    <w:rsid w:val="00731670"/>
    <w:rsid w:val="007323F7"/>
    <w:rsid w:val="0073404A"/>
    <w:rsid w:val="007347DD"/>
    <w:rsid w:val="00735071"/>
    <w:rsid w:val="00736AA8"/>
    <w:rsid w:val="007372C1"/>
    <w:rsid w:val="00737C16"/>
    <w:rsid w:val="00740189"/>
    <w:rsid w:val="00740ABE"/>
    <w:rsid w:val="00740E82"/>
    <w:rsid w:val="00742E3A"/>
    <w:rsid w:val="007432DA"/>
    <w:rsid w:val="00743616"/>
    <w:rsid w:val="007443A7"/>
    <w:rsid w:val="00744B51"/>
    <w:rsid w:val="00745777"/>
    <w:rsid w:val="00745D2E"/>
    <w:rsid w:val="00746228"/>
    <w:rsid w:val="00747544"/>
    <w:rsid w:val="00750ED3"/>
    <w:rsid w:val="0075132D"/>
    <w:rsid w:val="0075345E"/>
    <w:rsid w:val="00754968"/>
    <w:rsid w:val="00755487"/>
    <w:rsid w:val="00761C4F"/>
    <w:rsid w:val="00763A35"/>
    <w:rsid w:val="0076526E"/>
    <w:rsid w:val="00770C1A"/>
    <w:rsid w:val="00771976"/>
    <w:rsid w:val="0077256F"/>
    <w:rsid w:val="00772A55"/>
    <w:rsid w:val="00773099"/>
    <w:rsid w:val="0077367E"/>
    <w:rsid w:val="007737DF"/>
    <w:rsid w:val="007778FA"/>
    <w:rsid w:val="007803BE"/>
    <w:rsid w:val="007856D4"/>
    <w:rsid w:val="00785EEB"/>
    <w:rsid w:val="00786183"/>
    <w:rsid w:val="00787254"/>
    <w:rsid w:val="00790477"/>
    <w:rsid w:val="00791449"/>
    <w:rsid w:val="00792496"/>
    <w:rsid w:val="0079341B"/>
    <w:rsid w:val="00793801"/>
    <w:rsid w:val="0079442A"/>
    <w:rsid w:val="0079451A"/>
    <w:rsid w:val="0079503F"/>
    <w:rsid w:val="00795B9E"/>
    <w:rsid w:val="00795CE2"/>
    <w:rsid w:val="00796A3E"/>
    <w:rsid w:val="007A11DD"/>
    <w:rsid w:val="007A1CAA"/>
    <w:rsid w:val="007A225E"/>
    <w:rsid w:val="007A29CC"/>
    <w:rsid w:val="007A4170"/>
    <w:rsid w:val="007A5771"/>
    <w:rsid w:val="007A6BA4"/>
    <w:rsid w:val="007A7657"/>
    <w:rsid w:val="007B0483"/>
    <w:rsid w:val="007B16EF"/>
    <w:rsid w:val="007B1A17"/>
    <w:rsid w:val="007B3354"/>
    <w:rsid w:val="007B3C2D"/>
    <w:rsid w:val="007B4A17"/>
    <w:rsid w:val="007B5950"/>
    <w:rsid w:val="007B5BF5"/>
    <w:rsid w:val="007C2207"/>
    <w:rsid w:val="007C23BD"/>
    <w:rsid w:val="007C361F"/>
    <w:rsid w:val="007C463B"/>
    <w:rsid w:val="007C4F31"/>
    <w:rsid w:val="007C4FE9"/>
    <w:rsid w:val="007C6074"/>
    <w:rsid w:val="007C661F"/>
    <w:rsid w:val="007C71BB"/>
    <w:rsid w:val="007D0BDF"/>
    <w:rsid w:val="007D1310"/>
    <w:rsid w:val="007D197C"/>
    <w:rsid w:val="007D420B"/>
    <w:rsid w:val="007D4A7B"/>
    <w:rsid w:val="007E085C"/>
    <w:rsid w:val="007E0AB8"/>
    <w:rsid w:val="007E1476"/>
    <w:rsid w:val="007E155D"/>
    <w:rsid w:val="007E2CF2"/>
    <w:rsid w:val="007E6836"/>
    <w:rsid w:val="007F0110"/>
    <w:rsid w:val="007F04B9"/>
    <w:rsid w:val="007F0917"/>
    <w:rsid w:val="007F1CF3"/>
    <w:rsid w:val="007F534C"/>
    <w:rsid w:val="007F6996"/>
    <w:rsid w:val="007F6AD0"/>
    <w:rsid w:val="007F76DC"/>
    <w:rsid w:val="0080054A"/>
    <w:rsid w:val="00802C48"/>
    <w:rsid w:val="008033B2"/>
    <w:rsid w:val="008053B6"/>
    <w:rsid w:val="00806BF5"/>
    <w:rsid w:val="00810E13"/>
    <w:rsid w:val="0081103F"/>
    <w:rsid w:val="0081370C"/>
    <w:rsid w:val="00813FE3"/>
    <w:rsid w:val="00814CCA"/>
    <w:rsid w:val="00815690"/>
    <w:rsid w:val="00816593"/>
    <w:rsid w:val="0082216B"/>
    <w:rsid w:val="008221AC"/>
    <w:rsid w:val="00822EFE"/>
    <w:rsid w:val="00823CC4"/>
    <w:rsid w:val="0082493C"/>
    <w:rsid w:val="00824F44"/>
    <w:rsid w:val="00825086"/>
    <w:rsid w:val="00826880"/>
    <w:rsid w:val="00832D48"/>
    <w:rsid w:val="00832E07"/>
    <w:rsid w:val="00833B76"/>
    <w:rsid w:val="00836EBE"/>
    <w:rsid w:val="008412D7"/>
    <w:rsid w:val="00841487"/>
    <w:rsid w:val="00841923"/>
    <w:rsid w:val="00842151"/>
    <w:rsid w:val="0084330D"/>
    <w:rsid w:val="00843981"/>
    <w:rsid w:val="00843DA0"/>
    <w:rsid w:val="00844627"/>
    <w:rsid w:val="00845762"/>
    <w:rsid w:val="008508DC"/>
    <w:rsid w:val="00850FB0"/>
    <w:rsid w:val="008516A1"/>
    <w:rsid w:val="008533A5"/>
    <w:rsid w:val="00854F9A"/>
    <w:rsid w:val="00856102"/>
    <w:rsid w:val="00857CC2"/>
    <w:rsid w:val="00860CA3"/>
    <w:rsid w:val="00862243"/>
    <w:rsid w:val="0086225C"/>
    <w:rsid w:val="008633A7"/>
    <w:rsid w:val="00864F9B"/>
    <w:rsid w:val="00864FE8"/>
    <w:rsid w:val="008656ED"/>
    <w:rsid w:val="008703DD"/>
    <w:rsid w:val="00870C19"/>
    <w:rsid w:val="008724C0"/>
    <w:rsid w:val="008741A7"/>
    <w:rsid w:val="00874D32"/>
    <w:rsid w:val="008755C2"/>
    <w:rsid w:val="00876719"/>
    <w:rsid w:val="008805F5"/>
    <w:rsid w:val="00881DDB"/>
    <w:rsid w:val="0088375D"/>
    <w:rsid w:val="00883EFD"/>
    <w:rsid w:val="00884354"/>
    <w:rsid w:val="0088445D"/>
    <w:rsid w:val="008847E1"/>
    <w:rsid w:val="008868DC"/>
    <w:rsid w:val="00886946"/>
    <w:rsid w:val="00886D6B"/>
    <w:rsid w:val="008879F9"/>
    <w:rsid w:val="00890F1A"/>
    <w:rsid w:val="008928BD"/>
    <w:rsid w:val="00893D3B"/>
    <w:rsid w:val="00896971"/>
    <w:rsid w:val="00896A2F"/>
    <w:rsid w:val="00896B66"/>
    <w:rsid w:val="008973D5"/>
    <w:rsid w:val="0089792B"/>
    <w:rsid w:val="008A1FBC"/>
    <w:rsid w:val="008A293C"/>
    <w:rsid w:val="008A2E0B"/>
    <w:rsid w:val="008A3A39"/>
    <w:rsid w:val="008A42C4"/>
    <w:rsid w:val="008A4B3D"/>
    <w:rsid w:val="008A5BEC"/>
    <w:rsid w:val="008A6957"/>
    <w:rsid w:val="008A6D46"/>
    <w:rsid w:val="008A6FC2"/>
    <w:rsid w:val="008B033F"/>
    <w:rsid w:val="008B052D"/>
    <w:rsid w:val="008B13F7"/>
    <w:rsid w:val="008B1F85"/>
    <w:rsid w:val="008B2E36"/>
    <w:rsid w:val="008B38BA"/>
    <w:rsid w:val="008B4357"/>
    <w:rsid w:val="008B532D"/>
    <w:rsid w:val="008B6E75"/>
    <w:rsid w:val="008B719E"/>
    <w:rsid w:val="008C01CC"/>
    <w:rsid w:val="008C3DE9"/>
    <w:rsid w:val="008C3EDF"/>
    <w:rsid w:val="008C420D"/>
    <w:rsid w:val="008C48CB"/>
    <w:rsid w:val="008C4C2E"/>
    <w:rsid w:val="008C5E0C"/>
    <w:rsid w:val="008D2294"/>
    <w:rsid w:val="008D2D8A"/>
    <w:rsid w:val="008D57AF"/>
    <w:rsid w:val="008D5D87"/>
    <w:rsid w:val="008D6BE1"/>
    <w:rsid w:val="008D703D"/>
    <w:rsid w:val="008E3164"/>
    <w:rsid w:val="008E4499"/>
    <w:rsid w:val="008E4659"/>
    <w:rsid w:val="008E676F"/>
    <w:rsid w:val="008E6E8D"/>
    <w:rsid w:val="008F0768"/>
    <w:rsid w:val="008F0EF3"/>
    <w:rsid w:val="008F2A98"/>
    <w:rsid w:val="008F3959"/>
    <w:rsid w:val="008F46A1"/>
    <w:rsid w:val="008F6C98"/>
    <w:rsid w:val="008F6EB1"/>
    <w:rsid w:val="008F79F4"/>
    <w:rsid w:val="009007EB"/>
    <w:rsid w:val="0090139F"/>
    <w:rsid w:val="009031F4"/>
    <w:rsid w:val="00903820"/>
    <w:rsid w:val="00904A63"/>
    <w:rsid w:val="009055D1"/>
    <w:rsid w:val="009057A9"/>
    <w:rsid w:val="00905CA1"/>
    <w:rsid w:val="00907620"/>
    <w:rsid w:val="00910071"/>
    <w:rsid w:val="00912323"/>
    <w:rsid w:val="00913BC8"/>
    <w:rsid w:val="009141D4"/>
    <w:rsid w:val="00914BB7"/>
    <w:rsid w:val="009150F4"/>
    <w:rsid w:val="00915CC9"/>
    <w:rsid w:val="00917261"/>
    <w:rsid w:val="00917403"/>
    <w:rsid w:val="009176C1"/>
    <w:rsid w:val="0092054F"/>
    <w:rsid w:val="00920951"/>
    <w:rsid w:val="00921103"/>
    <w:rsid w:val="009216FF"/>
    <w:rsid w:val="00921FB7"/>
    <w:rsid w:val="00921FEF"/>
    <w:rsid w:val="0092690E"/>
    <w:rsid w:val="0092709E"/>
    <w:rsid w:val="009271E2"/>
    <w:rsid w:val="009279F3"/>
    <w:rsid w:val="0093099D"/>
    <w:rsid w:val="009310E0"/>
    <w:rsid w:val="0093195B"/>
    <w:rsid w:val="009334AF"/>
    <w:rsid w:val="00933728"/>
    <w:rsid w:val="00935168"/>
    <w:rsid w:val="00935525"/>
    <w:rsid w:val="00936483"/>
    <w:rsid w:val="009369F4"/>
    <w:rsid w:val="00940AA9"/>
    <w:rsid w:val="00940BC1"/>
    <w:rsid w:val="00940DFF"/>
    <w:rsid w:val="009419EE"/>
    <w:rsid w:val="00944466"/>
    <w:rsid w:val="00945201"/>
    <w:rsid w:val="00945BC2"/>
    <w:rsid w:val="00945D23"/>
    <w:rsid w:val="00946D30"/>
    <w:rsid w:val="00947BE0"/>
    <w:rsid w:val="00950427"/>
    <w:rsid w:val="0095214C"/>
    <w:rsid w:val="00952FE1"/>
    <w:rsid w:val="009551E8"/>
    <w:rsid w:val="009552F2"/>
    <w:rsid w:val="00955462"/>
    <w:rsid w:val="009556C4"/>
    <w:rsid w:val="009560D4"/>
    <w:rsid w:val="009572B4"/>
    <w:rsid w:val="00960481"/>
    <w:rsid w:val="00960C98"/>
    <w:rsid w:val="00960D98"/>
    <w:rsid w:val="009614A5"/>
    <w:rsid w:val="009620BA"/>
    <w:rsid w:val="0096565B"/>
    <w:rsid w:val="00965C1C"/>
    <w:rsid w:val="00967611"/>
    <w:rsid w:val="00970115"/>
    <w:rsid w:val="00970A87"/>
    <w:rsid w:val="00970C82"/>
    <w:rsid w:val="00970E31"/>
    <w:rsid w:val="00971360"/>
    <w:rsid w:val="00972E38"/>
    <w:rsid w:val="00973D49"/>
    <w:rsid w:val="009744C3"/>
    <w:rsid w:val="00975B2C"/>
    <w:rsid w:val="00975F1E"/>
    <w:rsid w:val="00975F5A"/>
    <w:rsid w:val="0097622A"/>
    <w:rsid w:val="009762A2"/>
    <w:rsid w:val="00977792"/>
    <w:rsid w:val="00983E3E"/>
    <w:rsid w:val="00985714"/>
    <w:rsid w:val="00987518"/>
    <w:rsid w:val="009878FE"/>
    <w:rsid w:val="00987B0C"/>
    <w:rsid w:val="00987F78"/>
    <w:rsid w:val="009925E0"/>
    <w:rsid w:val="00992800"/>
    <w:rsid w:val="00993069"/>
    <w:rsid w:val="0099337F"/>
    <w:rsid w:val="00993B8B"/>
    <w:rsid w:val="009952CE"/>
    <w:rsid w:val="00995329"/>
    <w:rsid w:val="00995A68"/>
    <w:rsid w:val="00996ADC"/>
    <w:rsid w:val="00996F7D"/>
    <w:rsid w:val="009973A4"/>
    <w:rsid w:val="00997C1A"/>
    <w:rsid w:val="009A0151"/>
    <w:rsid w:val="009A1EA4"/>
    <w:rsid w:val="009A3234"/>
    <w:rsid w:val="009A38D4"/>
    <w:rsid w:val="009A3BBB"/>
    <w:rsid w:val="009A61C8"/>
    <w:rsid w:val="009A70E6"/>
    <w:rsid w:val="009A77B9"/>
    <w:rsid w:val="009A7D64"/>
    <w:rsid w:val="009B00B2"/>
    <w:rsid w:val="009B126C"/>
    <w:rsid w:val="009B1BD2"/>
    <w:rsid w:val="009B2339"/>
    <w:rsid w:val="009B4923"/>
    <w:rsid w:val="009B5457"/>
    <w:rsid w:val="009B6127"/>
    <w:rsid w:val="009C059C"/>
    <w:rsid w:val="009C13BA"/>
    <w:rsid w:val="009C16B9"/>
    <w:rsid w:val="009C1A58"/>
    <w:rsid w:val="009C313B"/>
    <w:rsid w:val="009C3147"/>
    <w:rsid w:val="009C40FF"/>
    <w:rsid w:val="009C57A3"/>
    <w:rsid w:val="009C584C"/>
    <w:rsid w:val="009C5E9B"/>
    <w:rsid w:val="009C66C4"/>
    <w:rsid w:val="009C7364"/>
    <w:rsid w:val="009C73A0"/>
    <w:rsid w:val="009C7F7B"/>
    <w:rsid w:val="009D24B1"/>
    <w:rsid w:val="009D32E7"/>
    <w:rsid w:val="009D48B8"/>
    <w:rsid w:val="009D49AD"/>
    <w:rsid w:val="009D4BDD"/>
    <w:rsid w:val="009D5831"/>
    <w:rsid w:val="009E16F3"/>
    <w:rsid w:val="009E1B63"/>
    <w:rsid w:val="009E264D"/>
    <w:rsid w:val="009E577D"/>
    <w:rsid w:val="009E59D9"/>
    <w:rsid w:val="009E6424"/>
    <w:rsid w:val="009E7EBA"/>
    <w:rsid w:val="009F018F"/>
    <w:rsid w:val="009F085E"/>
    <w:rsid w:val="009F1671"/>
    <w:rsid w:val="009F2070"/>
    <w:rsid w:val="009F4789"/>
    <w:rsid w:val="009F4B83"/>
    <w:rsid w:val="009F58C2"/>
    <w:rsid w:val="009F77B4"/>
    <w:rsid w:val="00A01250"/>
    <w:rsid w:val="00A016EB"/>
    <w:rsid w:val="00A02D8F"/>
    <w:rsid w:val="00A02EE3"/>
    <w:rsid w:val="00A05F71"/>
    <w:rsid w:val="00A06530"/>
    <w:rsid w:val="00A0662C"/>
    <w:rsid w:val="00A066FF"/>
    <w:rsid w:val="00A070AD"/>
    <w:rsid w:val="00A0735A"/>
    <w:rsid w:val="00A0773F"/>
    <w:rsid w:val="00A10579"/>
    <w:rsid w:val="00A11184"/>
    <w:rsid w:val="00A12733"/>
    <w:rsid w:val="00A12E42"/>
    <w:rsid w:val="00A13061"/>
    <w:rsid w:val="00A13ABE"/>
    <w:rsid w:val="00A14281"/>
    <w:rsid w:val="00A16093"/>
    <w:rsid w:val="00A167F9"/>
    <w:rsid w:val="00A16A78"/>
    <w:rsid w:val="00A16AAE"/>
    <w:rsid w:val="00A201A5"/>
    <w:rsid w:val="00A203E2"/>
    <w:rsid w:val="00A2097C"/>
    <w:rsid w:val="00A213CC"/>
    <w:rsid w:val="00A216D0"/>
    <w:rsid w:val="00A2251B"/>
    <w:rsid w:val="00A2392F"/>
    <w:rsid w:val="00A23974"/>
    <w:rsid w:val="00A23B62"/>
    <w:rsid w:val="00A2499E"/>
    <w:rsid w:val="00A24B2D"/>
    <w:rsid w:val="00A24DF6"/>
    <w:rsid w:val="00A26979"/>
    <w:rsid w:val="00A275D2"/>
    <w:rsid w:val="00A27664"/>
    <w:rsid w:val="00A27A10"/>
    <w:rsid w:val="00A27F3D"/>
    <w:rsid w:val="00A312B2"/>
    <w:rsid w:val="00A3692A"/>
    <w:rsid w:val="00A36961"/>
    <w:rsid w:val="00A37CF8"/>
    <w:rsid w:val="00A37EE8"/>
    <w:rsid w:val="00A40827"/>
    <w:rsid w:val="00A418DC"/>
    <w:rsid w:val="00A41B09"/>
    <w:rsid w:val="00A41C7B"/>
    <w:rsid w:val="00A42C92"/>
    <w:rsid w:val="00A430C6"/>
    <w:rsid w:val="00A432BB"/>
    <w:rsid w:val="00A44686"/>
    <w:rsid w:val="00A46188"/>
    <w:rsid w:val="00A46605"/>
    <w:rsid w:val="00A469F0"/>
    <w:rsid w:val="00A47E8A"/>
    <w:rsid w:val="00A5070A"/>
    <w:rsid w:val="00A51A37"/>
    <w:rsid w:val="00A51CAB"/>
    <w:rsid w:val="00A5322F"/>
    <w:rsid w:val="00A540DC"/>
    <w:rsid w:val="00A55A1D"/>
    <w:rsid w:val="00A5646D"/>
    <w:rsid w:val="00A57742"/>
    <w:rsid w:val="00A57DC6"/>
    <w:rsid w:val="00A60610"/>
    <w:rsid w:val="00A63070"/>
    <w:rsid w:val="00A6404C"/>
    <w:rsid w:val="00A65636"/>
    <w:rsid w:val="00A65CF6"/>
    <w:rsid w:val="00A65D5F"/>
    <w:rsid w:val="00A65D95"/>
    <w:rsid w:val="00A70AB3"/>
    <w:rsid w:val="00A71520"/>
    <w:rsid w:val="00A715DC"/>
    <w:rsid w:val="00A71690"/>
    <w:rsid w:val="00A72036"/>
    <w:rsid w:val="00A75157"/>
    <w:rsid w:val="00A75C42"/>
    <w:rsid w:val="00A802AB"/>
    <w:rsid w:val="00A802F5"/>
    <w:rsid w:val="00A83DC3"/>
    <w:rsid w:val="00A83FD8"/>
    <w:rsid w:val="00A84E9D"/>
    <w:rsid w:val="00A8511A"/>
    <w:rsid w:val="00A86602"/>
    <w:rsid w:val="00A86C05"/>
    <w:rsid w:val="00A90197"/>
    <w:rsid w:val="00A90E5E"/>
    <w:rsid w:val="00A94A10"/>
    <w:rsid w:val="00A95229"/>
    <w:rsid w:val="00AA12A0"/>
    <w:rsid w:val="00AA31A1"/>
    <w:rsid w:val="00AA3A72"/>
    <w:rsid w:val="00AA7126"/>
    <w:rsid w:val="00AA7EEF"/>
    <w:rsid w:val="00AA7F93"/>
    <w:rsid w:val="00AB03E7"/>
    <w:rsid w:val="00AB059A"/>
    <w:rsid w:val="00AB0784"/>
    <w:rsid w:val="00AB2D95"/>
    <w:rsid w:val="00AB3001"/>
    <w:rsid w:val="00AB3A12"/>
    <w:rsid w:val="00AB4759"/>
    <w:rsid w:val="00AB537E"/>
    <w:rsid w:val="00AB5837"/>
    <w:rsid w:val="00AB6332"/>
    <w:rsid w:val="00AB7264"/>
    <w:rsid w:val="00AB7D31"/>
    <w:rsid w:val="00AC05F9"/>
    <w:rsid w:val="00AC186D"/>
    <w:rsid w:val="00AC237C"/>
    <w:rsid w:val="00AC38B8"/>
    <w:rsid w:val="00AC3F56"/>
    <w:rsid w:val="00AC417A"/>
    <w:rsid w:val="00AC72DA"/>
    <w:rsid w:val="00AD07D8"/>
    <w:rsid w:val="00AD0FFB"/>
    <w:rsid w:val="00AD1634"/>
    <w:rsid w:val="00AD1661"/>
    <w:rsid w:val="00AD2184"/>
    <w:rsid w:val="00AD25F4"/>
    <w:rsid w:val="00AD32B0"/>
    <w:rsid w:val="00AD5702"/>
    <w:rsid w:val="00AD597A"/>
    <w:rsid w:val="00AD5F3B"/>
    <w:rsid w:val="00AE26B6"/>
    <w:rsid w:val="00AE2EC2"/>
    <w:rsid w:val="00AE44F0"/>
    <w:rsid w:val="00AE49E0"/>
    <w:rsid w:val="00AE58C7"/>
    <w:rsid w:val="00AE7679"/>
    <w:rsid w:val="00AF0156"/>
    <w:rsid w:val="00AF25E6"/>
    <w:rsid w:val="00AF3DFD"/>
    <w:rsid w:val="00AF45A1"/>
    <w:rsid w:val="00AF49FB"/>
    <w:rsid w:val="00AF50ED"/>
    <w:rsid w:val="00AF69B5"/>
    <w:rsid w:val="00AF71FD"/>
    <w:rsid w:val="00B00583"/>
    <w:rsid w:val="00B01254"/>
    <w:rsid w:val="00B02C19"/>
    <w:rsid w:val="00B032BF"/>
    <w:rsid w:val="00B038AE"/>
    <w:rsid w:val="00B05243"/>
    <w:rsid w:val="00B0548C"/>
    <w:rsid w:val="00B05AAA"/>
    <w:rsid w:val="00B060E5"/>
    <w:rsid w:val="00B10B06"/>
    <w:rsid w:val="00B12B85"/>
    <w:rsid w:val="00B137C1"/>
    <w:rsid w:val="00B16ACA"/>
    <w:rsid w:val="00B16DCB"/>
    <w:rsid w:val="00B17FB2"/>
    <w:rsid w:val="00B204E3"/>
    <w:rsid w:val="00B22A0D"/>
    <w:rsid w:val="00B22CAD"/>
    <w:rsid w:val="00B23A73"/>
    <w:rsid w:val="00B241FA"/>
    <w:rsid w:val="00B25643"/>
    <w:rsid w:val="00B309F8"/>
    <w:rsid w:val="00B30D0F"/>
    <w:rsid w:val="00B327F4"/>
    <w:rsid w:val="00B33D68"/>
    <w:rsid w:val="00B34B4A"/>
    <w:rsid w:val="00B35A89"/>
    <w:rsid w:val="00B35C98"/>
    <w:rsid w:val="00B35E67"/>
    <w:rsid w:val="00B367B0"/>
    <w:rsid w:val="00B37BD1"/>
    <w:rsid w:val="00B37F3F"/>
    <w:rsid w:val="00B403FB"/>
    <w:rsid w:val="00B40F76"/>
    <w:rsid w:val="00B42402"/>
    <w:rsid w:val="00B429EB"/>
    <w:rsid w:val="00B42B8B"/>
    <w:rsid w:val="00B43878"/>
    <w:rsid w:val="00B43926"/>
    <w:rsid w:val="00B471AB"/>
    <w:rsid w:val="00B4771F"/>
    <w:rsid w:val="00B504B6"/>
    <w:rsid w:val="00B50B2A"/>
    <w:rsid w:val="00B50DCE"/>
    <w:rsid w:val="00B50EF1"/>
    <w:rsid w:val="00B537B5"/>
    <w:rsid w:val="00B53864"/>
    <w:rsid w:val="00B54291"/>
    <w:rsid w:val="00B55EE6"/>
    <w:rsid w:val="00B576E1"/>
    <w:rsid w:val="00B5795C"/>
    <w:rsid w:val="00B619ED"/>
    <w:rsid w:val="00B63864"/>
    <w:rsid w:val="00B6627C"/>
    <w:rsid w:val="00B664F1"/>
    <w:rsid w:val="00B67A04"/>
    <w:rsid w:val="00B71BB2"/>
    <w:rsid w:val="00B71D34"/>
    <w:rsid w:val="00B71ED9"/>
    <w:rsid w:val="00B757B9"/>
    <w:rsid w:val="00B811B1"/>
    <w:rsid w:val="00B81E53"/>
    <w:rsid w:val="00B8241A"/>
    <w:rsid w:val="00B8504B"/>
    <w:rsid w:val="00B855F2"/>
    <w:rsid w:val="00B8593A"/>
    <w:rsid w:val="00B86676"/>
    <w:rsid w:val="00B8681A"/>
    <w:rsid w:val="00B904E4"/>
    <w:rsid w:val="00B919C3"/>
    <w:rsid w:val="00B91E96"/>
    <w:rsid w:val="00B92364"/>
    <w:rsid w:val="00B93451"/>
    <w:rsid w:val="00B9364C"/>
    <w:rsid w:val="00B93803"/>
    <w:rsid w:val="00B93B79"/>
    <w:rsid w:val="00B93E67"/>
    <w:rsid w:val="00B9523A"/>
    <w:rsid w:val="00B9601D"/>
    <w:rsid w:val="00B966A1"/>
    <w:rsid w:val="00B97000"/>
    <w:rsid w:val="00B97B1B"/>
    <w:rsid w:val="00BA011A"/>
    <w:rsid w:val="00BA0176"/>
    <w:rsid w:val="00BA03B7"/>
    <w:rsid w:val="00BA0EE5"/>
    <w:rsid w:val="00BA2BA6"/>
    <w:rsid w:val="00BA2D7D"/>
    <w:rsid w:val="00BA5DE7"/>
    <w:rsid w:val="00BA68FE"/>
    <w:rsid w:val="00BA758F"/>
    <w:rsid w:val="00BA78E6"/>
    <w:rsid w:val="00BB2349"/>
    <w:rsid w:val="00BB26F3"/>
    <w:rsid w:val="00BB2F42"/>
    <w:rsid w:val="00BB3EEF"/>
    <w:rsid w:val="00BB517E"/>
    <w:rsid w:val="00BB5D2B"/>
    <w:rsid w:val="00BB66DD"/>
    <w:rsid w:val="00BB678D"/>
    <w:rsid w:val="00BB6F41"/>
    <w:rsid w:val="00BB7340"/>
    <w:rsid w:val="00BB79A7"/>
    <w:rsid w:val="00BC23E8"/>
    <w:rsid w:val="00BC44C9"/>
    <w:rsid w:val="00BC4590"/>
    <w:rsid w:val="00BC64AE"/>
    <w:rsid w:val="00BC6682"/>
    <w:rsid w:val="00BC6E7C"/>
    <w:rsid w:val="00BD0553"/>
    <w:rsid w:val="00BD0605"/>
    <w:rsid w:val="00BD2179"/>
    <w:rsid w:val="00BD3042"/>
    <w:rsid w:val="00BD4614"/>
    <w:rsid w:val="00BD47F3"/>
    <w:rsid w:val="00BD6988"/>
    <w:rsid w:val="00BD73E1"/>
    <w:rsid w:val="00BD79F9"/>
    <w:rsid w:val="00BE018A"/>
    <w:rsid w:val="00BE11BA"/>
    <w:rsid w:val="00BE1F4E"/>
    <w:rsid w:val="00BE26DE"/>
    <w:rsid w:val="00BE31C1"/>
    <w:rsid w:val="00BE3B28"/>
    <w:rsid w:val="00BE6992"/>
    <w:rsid w:val="00BE715C"/>
    <w:rsid w:val="00BE7249"/>
    <w:rsid w:val="00BF0087"/>
    <w:rsid w:val="00BF17C7"/>
    <w:rsid w:val="00BF2474"/>
    <w:rsid w:val="00BF2F82"/>
    <w:rsid w:val="00BF6187"/>
    <w:rsid w:val="00BF6B74"/>
    <w:rsid w:val="00C026A0"/>
    <w:rsid w:val="00C02972"/>
    <w:rsid w:val="00C03479"/>
    <w:rsid w:val="00C038DF"/>
    <w:rsid w:val="00C03A40"/>
    <w:rsid w:val="00C04CF4"/>
    <w:rsid w:val="00C050D0"/>
    <w:rsid w:val="00C05ABF"/>
    <w:rsid w:val="00C111F4"/>
    <w:rsid w:val="00C111F9"/>
    <w:rsid w:val="00C11DAA"/>
    <w:rsid w:val="00C12D67"/>
    <w:rsid w:val="00C14A02"/>
    <w:rsid w:val="00C15792"/>
    <w:rsid w:val="00C174AB"/>
    <w:rsid w:val="00C209E7"/>
    <w:rsid w:val="00C22026"/>
    <w:rsid w:val="00C227C8"/>
    <w:rsid w:val="00C23A95"/>
    <w:rsid w:val="00C23ADF"/>
    <w:rsid w:val="00C259DF"/>
    <w:rsid w:val="00C267AB"/>
    <w:rsid w:val="00C2685B"/>
    <w:rsid w:val="00C275EE"/>
    <w:rsid w:val="00C30043"/>
    <w:rsid w:val="00C30F0F"/>
    <w:rsid w:val="00C30FFC"/>
    <w:rsid w:val="00C31DA8"/>
    <w:rsid w:val="00C32470"/>
    <w:rsid w:val="00C337C8"/>
    <w:rsid w:val="00C345B4"/>
    <w:rsid w:val="00C35968"/>
    <w:rsid w:val="00C36375"/>
    <w:rsid w:val="00C41492"/>
    <w:rsid w:val="00C41E98"/>
    <w:rsid w:val="00C422F3"/>
    <w:rsid w:val="00C438BA"/>
    <w:rsid w:val="00C45984"/>
    <w:rsid w:val="00C50362"/>
    <w:rsid w:val="00C50535"/>
    <w:rsid w:val="00C505F8"/>
    <w:rsid w:val="00C51902"/>
    <w:rsid w:val="00C51905"/>
    <w:rsid w:val="00C52F78"/>
    <w:rsid w:val="00C53B7D"/>
    <w:rsid w:val="00C54A92"/>
    <w:rsid w:val="00C54E55"/>
    <w:rsid w:val="00C567CA"/>
    <w:rsid w:val="00C57683"/>
    <w:rsid w:val="00C57EFD"/>
    <w:rsid w:val="00C6496B"/>
    <w:rsid w:val="00C67A60"/>
    <w:rsid w:val="00C67BF8"/>
    <w:rsid w:val="00C712BF"/>
    <w:rsid w:val="00C72C2E"/>
    <w:rsid w:val="00C73A58"/>
    <w:rsid w:val="00C76B0E"/>
    <w:rsid w:val="00C8051F"/>
    <w:rsid w:val="00C809C3"/>
    <w:rsid w:val="00C836D9"/>
    <w:rsid w:val="00C839B9"/>
    <w:rsid w:val="00C83FB9"/>
    <w:rsid w:val="00C84554"/>
    <w:rsid w:val="00C864B3"/>
    <w:rsid w:val="00C87B66"/>
    <w:rsid w:val="00C87DEC"/>
    <w:rsid w:val="00C87F8C"/>
    <w:rsid w:val="00C87FCD"/>
    <w:rsid w:val="00C90051"/>
    <w:rsid w:val="00C900FF"/>
    <w:rsid w:val="00C94335"/>
    <w:rsid w:val="00C94EA6"/>
    <w:rsid w:val="00C95E25"/>
    <w:rsid w:val="00C972CF"/>
    <w:rsid w:val="00C97454"/>
    <w:rsid w:val="00CA13F4"/>
    <w:rsid w:val="00CA22FA"/>
    <w:rsid w:val="00CA243C"/>
    <w:rsid w:val="00CA39F6"/>
    <w:rsid w:val="00CA728F"/>
    <w:rsid w:val="00CA78F8"/>
    <w:rsid w:val="00CA79AA"/>
    <w:rsid w:val="00CB1A90"/>
    <w:rsid w:val="00CB2425"/>
    <w:rsid w:val="00CB25FC"/>
    <w:rsid w:val="00CB2957"/>
    <w:rsid w:val="00CB2A62"/>
    <w:rsid w:val="00CB344C"/>
    <w:rsid w:val="00CB478B"/>
    <w:rsid w:val="00CB4DF7"/>
    <w:rsid w:val="00CB641D"/>
    <w:rsid w:val="00CC0E97"/>
    <w:rsid w:val="00CC1253"/>
    <w:rsid w:val="00CC51E4"/>
    <w:rsid w:val="00CC5424"/>
    <w:rsid w:val="00CC57C8"/>
    <w:rsid w:val="00CC6011"/>
    <w:rsid w:val="00CC6BE6"/>
    <w:rsid w:val="00CD154A"/>
    <w:rsid w:val="00CD1E76"/>
    <w:rsid w:val="00CD330A"/>
    <w:rsid w:val="00CD3C23"/>
    <w:rsid w:val="00CD42E5"/>
    <w:rsid w:val="00CE17F2"/>
    <w:rsid w:val="00CE24CA"/>
    <w:rsid w:val="00CE35B8"/>
    <w:rsid w:val="00CE45EC"/>
    <w:rsid w:val="00CE472F"/>
    <w:rsid w:val="00CE5D0E"/>
    <w:rsid w:val="00CE63FC"/>
    <w:rsid w:val="00CE709E"/>
    <w:rsid w:val="00CE7AED"/>
    <w:rsid w:val="00CF042D"/>
    <w:rsid w:val="00CF143B"/>
    <w:rsid w:val="00CF21B0"/>
    <w:rsid w:val="00CF31E2"/>
    <w:rsid w:val="00CF367D"/>
    <w:rsid w:val="00CF3A10"/>
    <w:rsid w:val="00CF4F61"/>
    <w:rsid w:val="00CF5EF0"/>
    <w:rsid w:val="00CF65B5"/>
    <w:rsid w:val="00CF6BCA"/>
    <w:rsid w:val="00CF6DB3"/>
    <w:rsid w:val="00CF7357"/>
    <w:rsid w:val="00D0002B"/>
    <w:rsid w:val="00D00D4C"/>
    <w:rsid w:val="00D01584"/>
    <w:rsid w:val="00D02AFE"/>
    <w:rsid w:val="00D036EB"/>
    <w:rsid w:val="00D053F9"/>
    <w:rsid w:val="00D058F0"/>
    <w:rsid w:val="00D06011"/>
    <w:rsid w:val="00D062DB"/>
    <w:rsid w:val="00D0723F"/>
    <w:rsid w:val="00D10CA9"/>
    <w:rsid w:val="00D110D1"/>
    <w:rsid w:val="00D11503"/>
    <w:rsid w:val="00D11554"/>
    <w:rsid w:val="00D131DA"/>
    <w:rsid w:val="00D1335B"/>
    <w:rsid w:val="00D141F0"/>
    <w:rsid w:val="00D14B87"/>
    <w:rsid w:val="00D163D4"/>
    <w:rsid w:val="00D16A96"/>
    <w:rsid w:val="00D17001"/>
    <w:rsid w:val="00D17AC3"/>
    <w:rsid w:val="00D20032"/>
    <w:rsid w:val="00D22328"/>
    <w:rsid w:val="00D22979"/>
    <w:rsid w:val="00D23FB9"/>
    <w:rsid w:val="00D24E10"/>
    <w:rsid w:val="00D24FC2"/>
    <w:rsid w:val="00D255A5"/>
    <w:rsid w:val="00D25A9A"/>
    <w:rsid w:val="00D31CD2"/>
    <w:rsid w:val="00D32888"/>
    <w:rsid w:val="00D333A6"/>
    <w:rsid w:val="00D33BC4"/>
    <w:rsid w:val="00D33C72"/>
    <w:rsid w:val="00D34A87"/>
    <w:rsid w:val="00D34C7A"/>
    <w:rsid w:val="00D352A5"/>
    <w:rsid w:val="00D355A1"/>
    <w:rsid w:val="00D35B07"/>
    <w:rsid w:val="00D36422"/>
    <w:rsid w:val="00D36F8B"/>
    <w:rsid w:val="00D37804"/>
    <w:rsid w:val="00D4176C"/>
    <w:rsid w:val="00D41FB6"/>
    <w:rsid w:val="00D4282D"/>
    <w:rsid w:val="00D44216"/>
    <w:rsid w:val="00D44D06"/>
    <w:rsid w:val="00D44D7D"/>
    <w:rsid w:val="00D45895"/>
    <w:rsid w:val="00D47E0A"/>
    <w:rsid w:val="00D503B7"/>
    <w:rsid w:val="00D508F2"/>
    <w:rsid w:val="00D53B77"/>
    <w:rsid w:val="00D54F38"/>
    <w:rsid w:val="00D550A2"/>
    <w:rsid w:val="00D5571C"/>
    <w:rsid w:val="00D56319"/>
    <w:rsid w:val="00D57219"/>
    <w:rsid w:val="00D57B56"/>
    <w:rsid w:val="00D60B6D"/>
    <w:rsid w:val="00D60EA3"/>
    <w:rsid w:val="00D611E1"/>
    <w:rsid w:val="00D632A8"/>
    <w:rsid w:val="00D658F2"/>
    <w:rsid w:val="00D674DF"/>
    <w:rsid w:val="00D676D8"/>
    <w:rsid w:val="00D701D7"/>
    <w:rsid w:val="00D70813"/>
    <w:rsid w:val="00D70C03"/>
    <w:rsid w:val="00D71702"/>
    <w:rsid w:val="00D773E1"/>
    <w:rsid w:val="00D77684"/>
    <w:rsid w:val="00D8007C"/>
    <w:rsid w:val="00D800D5"/>
    <w:rsid w:val="00D80642"/>
    <w:rsid w:val="00D82ADD"/>
    <w:rsid w:val="00D82CF7"/>
    <w:rsid w:val="00D83F92"/>
    <w:rsid w:val="00D8475E"/>
    <w:rsid w:val="00D84F07"/>
    <w:rsid w:val="00D8508C"/>
    <w:rsid w:val="00D8511A"/>
    <w:rsid w:val="00D85809"/>
    <w:rsid w:val="00D85EB0"/>
    <w:rsid w:val="00D8684B"/>
    <w:rsid w:val="00D868F2"/>
    <w:rsid w:val="00D872D4"/>
    <w:rsid w:val="00D87FBB"/>
    <w:rsid w:val="00D91286"/>
    <w:rsid w:val="00D91536"/>
    <w:rsid w:val="00D91718"/>
    <w:rsid w:val="00D949BD"/>
    <w:rsid w:val="00D94BFB"/>
    <w:rsid w:val="00D9549F"/>
    <w:rsid w:val="00D95567"/>
    <w:rsid w:val="00D955FA"/>
    <w:rsid w:val="00D95746"/>
    <w:rsid w:val="00D9796A"/>
    <w:rsid w:val="00DA1273"/>
    <w:rsid w:val="00DA1A5F"/>
    <w:rsid w:val="00DA1E22"/>
    <w:rsid w:val="00DA2248"/>
    <w:rsid w:val="00DA2375"/>
    <w:rsid w:val="00DA4D95"/>
    <w:rsid w:val="00DA5B57"/>
    <w:rsid w:val="00DA5EC7"/>
    <w:rsid w:val="00DA6BBC"/>
    <w:rsid w:val="00DB06C0"/>
    <w:rsid w:val="00DB25AD"/>
    <w:rsid w:val="00DB2EFA"/>
    <w:rsid w:val="00DB3D2C"/>
    <w:rsid w:val="00DB403A"/>
    <w:rsid w:val="00DB425F"/>
    <w:rsid w:val="00DB50BF"/>
    <w:rsid w:val="00DB6626"/>
    <w:rsid w:val="00DB6741"/>
    <w:rsid w:val="00DB6F5D"/>
    <w:rsid w:val="00DB7427"/>
    <w:rsid w:val="00DC077C"/>
    <w:rsid w:val="00DC0D2A"/>
    <w:rsid w:val="00DC1055"/>
    <w:rsid w:val="00DC1258"/>
    <w:rsid w:val="00DC1B2C"/>
    <w:rsid w:val="00DC1BA1"/>
    <w:rsid w:val="00DC29C7"/>
    <w:rsid w:val="00DC2F54"/>
    <w:rsid w:val="00DC3598"/>
    <w:rsid w:val="00DC3AB3"/>
    <w:rsid w:val="00DC5129"/>
    <w:rsid w:val="00DC553F"/>
    <w:rsid w:val="00DC55CD"/>
    <w:rsid w:val="00DC5DBD"/>
    <w:rsid w:val="00DC629D"/>
    <w:rsid w:val="00DC6757"/>
    <w:rsid w:val="00DC72B9"/>
    <w:rsid w:val="00DC7D08"/>
    <w:rsid w:val="00DD0DBB"/>
    <w:rsid w:val="00DD15AE"/>
    <w:rsid w:val="00DD375D"/>
    <w:rsid w:val="00DD4171"/>
    <w:rsid w:val="00DE3BAE"/>
    <w:rsid w:val="00DE4469"/>
    <w:rsid w:val="00DE4F00"/>
    <w:rsid w:val="00DE565E"/>
    <w:rsid w:val="00DE595A"/>
    <w:rsid w:val="00DE5A83"/>
    <w:rsid w:val="00DE70B4"/>
    <w:rsid w:val="00DF07BB"/>
    <w:rsid w:val="00DF0C4A"/>
    <w:rsid w:val="00DF0EA6"/>
    <w:rsid w:val="00DF0FD4"/>
    <w:rsid w:val="00DF173F"/>
    <w:rsid w:val="00DF2614"/>
    <w:rsid w:val="00DF2FB8"/>
    <w:rsid w:val="00DF53C5"/>
    <w:rsid w:val="00DF67CF"/>
    <w:rsid w:val="00E000C2"/>
    <w:rsid w:val="00E02B7B"/>
    <w:rsid w:val="00E02BD4"/>
    <w:rsid w:val="00E0508C"/>
    <w:rsid w:val="00E0793B"/>
    <w:rsid w:val="00E122D1"/>
    <w:rsid w:val="00E125FA"/>
    <w:rsid w:val="00E13FC3"/>
    <w:rsid w:val="00E155B3"/>
    <w:rsid w:val="00E157B0"/>
    <w:rsid w:val="00E15B8B"/>
    <w:rsid w:val="00E16837"/>
    <w:rsid w:val="00E17004"/>
    <w:rsid w:val="00E17924"/>
    <w:rsid w:val="00E2004F"/>
    <w:rsid w:val="00E2297A"/>
    <w:rsid w:val="00E23D88"/>
    <w:rsid w:val="00E24222"/>
    <w:rsid w:val="00E25B00"/>
    <w:rsid w:val="00E26BA1"/>
    <w:rsid w:val="00E26D54"/>
    <w:rsid w:val="00E274A1"/>
    <w:rsid w:val="00E2796B"/>
    <w:rsid w:val="00E30BCF"/>
    <w:rsid w:val="00E326B4"/>
    <w:rsid w:val="00E362A7"/>
    <w:rsid w:val="00E36CF3"/>
    <w:rsid w:val="00E376CD"/>
    <w:rsid w:val="00E4054A"/>
    <w:rsid w:val="00E414B1"/>
    <w:rsid w:val="00E44C33"/>
    <w:rsid w:val="00E44E94"/>
    <w:rsid w:val="00E453D3"/>
    <w:rsid w:val="00E45447"/>
    <w:rsid w:val="00E454BF"/>
    <w:rsid w:val="00E45E85"/>
    <w:rsid w:val="00E47D8D"/>
    <w:rsid w:val="00E50203"/>
    <w:rsid w:val="00E542E2"/>
    <w:rsid w:val="00E54FDF"/>
    <w:rsid w:val="00E558E3"/>
    <w:rsid w:val="00E55CA3"/>
    <w:rsid w:val="00E57B49"/>
    <w:rsid w:val="00E57DDD"/>
    <w:rsid w:val="00E60FAD"/>
    <w:rsid w:val="00E61D88"/>
    <w:rsid w:val="00E62FDB"/>
    <w:rsid w:val="00E63C80"/>
    <w:rsid w:val="00E6585B"/>
    <w:rsid w:val="00E70858"/>
    <w:rsid w:val="00E713D1"/>
    <w:rsid w:val="00E71D57"/>
    <w:rsid w:val="00E72ADA"/>
    <w:rsid w:val="00E73407"/>
    <w:rsid w:val="00E74BEB"/>
    <w:rsid w:val="00E754BF"/>
    <w:rsid w:val="00E76867"/>
    <w:rsid w:val="00E77D18"/>
    <w:rsid w:val="00E802A9"/>
    <w:rsid w:val="00E809B2"/>
    <w:rsid w:val="00E81D49"/>
    <w:rsid w:val="00E82567"/>
    <w:rsid w:val="00E835DD"/>
    <w:rsid w:val="00E84543"/>
    <w:rsid w:val="00E84648"/>
    <w:rsid w:val="00E84FA4"/>
    <w:rsid w:val="00E85C72"/>
    <w:rsid w:val="00E86053"/>
    <w:rsid w:val="00E864AE"/>
    <w:rsid w:val="00E870CE"/>
    <w:rsid w:val="00E87293"/>
    <w:rsid w:val="00E900DA"/>
    <w:rsid w:val="00E9021D"/>
    <w:rsid w:val="00E9039B"/>
    <w:rsid w:val="00E91EAC"/>
    <w:rsid w:val="00E92713"/>
    <w:rsid w:val="00E93D95"/>
    <w:rsid w:val="00E95345"/>
    <w:rsid w:val="00E97793"/>
    <w:rsid w:val="00E97F13"/>
    <w:rsid w:val="00E97FCB"/>
    <w:rsid w:val="00EA0114"/>
    <w:rsid w:val="00EA119F"/>
    <w:rsid w:val="00EA3206"/>
    <w:rsid w:val="00EA3E76"/>
    <w:rsid w:val="00EA4B9E"/>
    <w:rsid w:val="00EA53D6"/>
    <w:rsid w:val="00EA564D"/>
    <w:rsid w:val="00EA6AC9"/>
    <w:rsid w:val="00EA7E7F"/>
    <w:rsid w:val="00EB2B5A"/>
    <w:rsid w:val="00EB30ED"/>
    <w:rsid w:val="00EB3B4B"/>
    <w:rsid w:val="00EB58D8"/>
    <w:rsid w:val="00EB615E"/>
    <w:rsid w:val="00EB690D"/>
    <w:rsid w:val="00EC0D8F"/>
    <w:rsid w:val="00EC1AF2"/>
    <w:rsid w:val="00EC3735"/>
    <w:rsid w:val="00EC4275"/>
    <w:rsid w:val="00EC4D87"/>
    <w:rsid w:val="00EC6198"/>
    <w:rsid w:val="00EC6907"/>
    <w:rsid w:val="00EC6EDC"/>
    <w:rsid w:val="00ED0BDE"/>
    <w:rsid w:val="00ED1611"/>
    <w:rsid w:val="00ED1D25"/>
    <w:rsid w:val="00ED2EDC"/>
    <w:rsid w:val="00ED49C2"/>
    <w:rsid w:val="00ED560A"/>
    <w:rsid w:val="00ED604F"/>
    <w:rsid w:val="00ED75B7"/>
    <w:rsid w:val="00EE1602"/>
    <w:rsid w:val="00EE2755"/>
    <w:rsid w:val="00EE2995"/>
    <w:rsid w:val="00EE3572"/>
    <w:rsid w:val="00EE4108"/>
    <w:rsid w:val="00EE50E9"/>
    <w:rsid w:val="00EE752A"/>
    <w:rsid w:val="00EF1034"/>
    <w:rsid w:val="00EF2476"/>
    <w:rsid w:val="00EF3470"/>
    <w:rsid w:val="00EF35F6"/>
    <w:rsid w:val="00EF42BE"/>
    <w:rsid w:val="00EF487A"/>
    <w:rsid w:val="00EF62B4"/>
    <w:rsid w:val="00EF6717"/>
    <w:rsid w:val="00F014EF"/>
    <w:rsid w:val="00F01D02"/>
    <w:rsid w:val="00F02025"/>
    <w:rsid w:val="00F0336E"/>
    <w:rsid w:val="00F06B52"/>
    <w:rsid w:val="00F06DEB"/>
    <w:rsid w:val="00F07826"/>
    <w:rsid w:val="00F07D00"/>
    <w:rsid w:val="00F107B5"/>
    <w:rsid w:val="00F1532B"/>
    <w:rsid w:val="00F16930"/>
    <w:rsid w:val="00F17732"/>
    <w:rsid w:val="00F17AE6"/>
    <w:rsid w:val="00F23771"/>
    <w:rsid w:val="00F24F39"/>
    <w:rsid w:val="00F26E52"/>
    <w:rsid w:val="00F26FE1"/>
    <w:rsid w:val="00F314E0"/>
    <w:rsid w:val="00F35202"/>
    <w:rsid w:val="00F35E02"/>
    <w:rsid w:val="00F37AAD"/>
    <w:rsid w:val="00F37AD7"/>
    <w:rsid w:val="00F404B3"/>
    <w:rsid w:val="00F40F7B"/>
    <w:rsid w:val="00F41FC3"/>
    <w:rsid w:val="00F42163"/>
    <w:rsid w:val="00F4248D"/>
    <w:rsid w:val="00F426BB"/>
    <w:rsid w:val="00F438C0"/>
    <w:rsid w:val="00F511D2"/>
    <w:rsid w:val="00F52E8E"/>
    <w:rsid w:val="00F52F51"/>
    <w:rsid w:val="00F53037"/>
    <w:rsid w:val="00F54A93"/>
    <w:rsid w:val="00F54F4D"/>
    <w:rsid w:val="00F5530C"/>
    <w:rsid w:val="00F5537D"/>
    <w:rsid w:val="00F56FE7"/>
    <w:rsid w:val="00F57046"/>
    <w:rsid w:val="00F5737C"/>
    <w:rsid w:val="00F573A6"/>
    <w:rsid w:val="00F61A9D"/>
    <w:rsid w:val="00F638B6"/>
    <w:rsid w:val="00F63921"/>
    <w:rsid w:val="00F639CF"/>
    <w:rsid w:val="00F64F3A"/>
    <w:rsid w:val="00F662F2"/>
    <w:rsid w:val="00F66670"/>
    <w:rsid w:val="00F66D10"/>
    <w:rsid w:val="00F710D9"/>
    <w:rsid w:val="00F7294E"/>
    <w:rsid w:val="00F72AED"/>
    <w:rsid w:val="00F737E3"/>
    <w:rsid w:val="00F75042"/>
    <w:rsid w:val="00F753AC"/>
    <w:rsid w:val="00F75422"/>
    <w:rsid w:val="00F7590A"/>
    <w:rsid w:val="00F771F4"/>
    <w:rsid w:val="00F77E81"/>
    <w:rsid w:val="00F8025A"/>
    <w:rsid w:val="00F80D0B"/>
    <w:rsid w:val="00F81D46"/>
    <w:rsid w:val="00F81EB9"/>
    <w:rsid w:val="00F84CF2"/>
    <w:rsid w:val="00F91098"/>
    <w:rsid w:val="00F9299F"/>
    <w:rsid w:val="00F92ECF"/>
    <w:rsid w:val="00F93508"/>
    <w:rsid w:val="00F95231"/>
    <w:rsid w:val="00F96626"/>
    <w:rsid w:val="00FA0EEC"/>
    <w:rsid w:val="00FA2427"/>
    <w:rsid w:val="00FA291B"/>
    <w:rsid w:val="00FA2BAD"/>
    <w:rsid w:val="00FA36DF"/>
    <w:rsid w:val="00FA3F4E"/>
    <w:rsid w:val="00FA4CAA"/>
    <w:rsid w:val="00FA4F83"/>
    <w:rsid w:val="00FA58EA"/>
    <w:rsid w:val="00FA679F"/>
    <w:rsid w:val="00FA6D8F"/>
    <w:rsid w:val="00FB054B"/>
    <w:rsid w:val="00FB0A20"/>
    <w:rsid w:val="00FB0D96"/>
    <w:rsid w:val="00FB3D8B"/>
    <w:rsid w:val="00FB3EFD"/>
    <w:rsid w:val="00FB629B"/>
    <w:rsid w:val="00FB6C5F"/>
    <w:rsid w:val="00FB7311"/>
    <w:rsid w:val="00FC148C"/>
    <w:rsid w:val="00FC1655"/>
    <w:rsid w:val="00FC1F33"/>
    <w:rsid w:val="00FC2D62"/>
    <w:rsid w:val="00FC30A1"/>
    <w:rsid w:val="00FC3BD9"/>
    <w:rsid w:val="00FC4C64"/>
    <w:rsid w:val="00FC5B10"/>
    <w:rsid w:val="00FC7301"/>
    <w:rsid w:val="00FC7E7F"/>
    <w:rsid w:val="00FD08A5"/>
    <w:rsid w:val="00FD0E13"/>
    <w:rsid w:val="00FD22DC"/>
    <w:rsid w:val="00FD23C9"/>
    <w:rsid w:val="00FD3290"/>
    <w:rsid w:val="00FD4594"/>
    <w:rsid w:val="00FD5BFF"/>
    <w:rsid w:val="00FD6916"/>
    <w:rsid w:val="00FD7BBD"/>
    <w:rsid w:val="00FE25FB"/>
    <w:rsid w:val="00FE2C41"/>
    <w:rsid w:val="00FE2E76"/>
    <w:rsid w:val="00FE3082"/>
    <w:rsid w:val="00FE50C4"/>
    <w:rsid w:val="00FE59F4"/>
    <w:rsid w:val="00FE639C"/>
    <w:rsid w:val="00FE6F89"/>
    <w:rsid w:val="00FE7559"/>
    <w:rsid w:val="00FF2781"/>
    <w:rsid w:val="00FF2FDC"/>
    <w:rsid w:val="00FF396D"/>
    <w:rsid w:val="00FF3EBD"/>
    <w:rsid w:val="00FF4070"/>
    <w:rsid w:val="00FF46E0"/>
    <w:rsid w:val="00FF48E3"/>
    <w:rsid w:val="00FF62A5"/>
    <w:rsid w:val="00FF6AAA"/>
    <w:rsid w:val="00FF72E2"/>
    <w:rsid w:val="00FF77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CF5B"/>
  <w15:chartTrackingRefBased/>
  <w15:docId w15:val="{3507F27D-0A90-4D4C-B629-5454D82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6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F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6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F8B"/>
    <w:rPr>
      <w:rFonts w:eastAsiaTheme="majorEastAsia" w:cstheme="majorBidi"/>
      <w:color w:val="272727" w:themeColor="text1" w:themeTint="D8"/>
    </w:rPr>
  </w:style>
  <w:style w:type="paragraph" w:styleId="Title">
    <w:name w:val="Title"/>
    <w:basedOn w:val="Normal"/>
    <w:next w:val="Normal"/>
    <w:link w:val="TitleChar"/>
    <w:uiPriority w:val="10"/>
    <w:qFormat/>
    <w:rsid w:val="00D36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F8B"/>
    <w:pPr>
      <w:spacing w:before="160"/>
      <w:jc w:val="center"/>
    </w:pPr>
    <w:rPr>
      <w:i/>
      <w:iCs/>
      <w:color w:val="404040" w:themeColor="text1" w:themeTint="BF"/>
    </w:rPr>
  </w:style>
  <w:style w:type="character" w:customStyle="1" w:styleId="QuoteChar">
    <w:name w:val="Quote Char"/>
    <w:basedOn w:val="DefaultParagraphFont"/>
    <w:link w:val="Quote"/>
    <w:uiPriority w:val="29"/>
    <w:rsid w:val="00D36F8B"/>
    <w:rPr>
      <w:i/>
      <w:iCs/>
      <w:color w:val="404040" w:themeColor="text1" w:themeTint="BF"/>
    </w:rPr>
  </w:style>
  <w:style w:type="paragraph" w:styleId="ListParagraph">
    <w:name w:val="List Paragraph"/>
    <w:basedOn w:val="Normal"/>
    <w:uiPriority w:val="34"/>
    <w:qFormat/>
    <w:rsid w:val="00D36F8B"/>
    <w:pPr>
      <w:ind w:left="720"/>
      <w:contextualSpacing/>
    </w:pPr>
  </w:style>
  <w:style w:type="character" w:styleId="IntenseEmphasis">
    <w:name w:val="Intense Emphasis"/>
    <w:basedOn w:val="DefaultParagraphFont"/>
    <w:uiPriority w:val="21"/>
    <w:qFormat/>
    <w:rsid w:val="00D36F8B"/>
    <w:rPr>
      <w:i/>
      <w:iCs/>
      <w:color w:val="0F4761" w:themeColor="accent1" w:themeShade="BF"/>
    </w:rPr>
  </w:style>
  <w:style w:type="paragraph" w:styleId="IntenseQuote">
    <w:name w:val="Intense Quote"/>
    <w:basedOn w:val="Normal"/>
    <w:next w:val="Normal"/>
    <w:link w:val="IntenseQuoteChar"/>
    <w:uiPriority w:val="30"/>
    <w:qFormat/>
    <w:rsid w:val="00D36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F8B"/>
    <w:rPr>
      <w:i/>
      <w:iCs/>
      <w:color w:val="0F4761" w:themeColor="accent1" w:themeShade="BF"/>
    </w:rPr>
  </w:style>
  <w:style w:type="character" w:styleId="IntenseReference">
    <w:name w:val="Intense Reference"/>
    <w:basedOn w:val="DefaultParagraphFont"/>
    <w:uiPriority w:val="32"/>
    <w:qFormat/>
    <w:rsid w:val="00D36F8B"/>
    <w:rPr>
      <w:b/>
      <w:bCs/>
      <w:smallCaps/>
      <w:color w:val="0F4761" w:themeColor="accent1" w:themeShade="BF"/>
      <w:spacing w:val="5"/>
    </w:rPr>
  </w:style>
  <w:style w:type="paragraph" w:styleId="Header">
    <w:name w:val="header"/>
    <w:basedOn w:val="Normal"/>
    <w:link w:val="HeaderChar"/>
    <w:uiPriority w:val="99"/>
    <w:unhideWhenUsed/>
    <w:rsid w:val="006D4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84A"/>
  </w:style>
  <w:style w:type="paragraph" w:styleId="Footer">
    <w:name w:val="footer"/>
    <w:basedOn w:val="Normal"/>
    <w:link w:val="FooterChar"/>
    <w:uiPriority w:val="99"/>
    <w:unhideWhenUsed/>
    <w:rsid w:val="006D4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84A"/>
  </w:style>
  <w:style w:type="paragraph" w:styleId="FootnoteText">
    <w:name w:val="footnote text"/>
    <w:basedOn w:val="Normal"/>
    <w:link w:val="FootnoteTextChar"/>
    <w:uiPriority w:val="99"/>
    <w:semiHidden/>
    <w:unhideWhenUsed/>
    <w:rsid w:val="000D5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18D"/>
    <w:rPr>
      <w:sz w:val="20"/>
      <w:szCs w:val="20"/>
    </w:rPr>
  </w:style>
  <w:style w:type="character" w:styleId="FootnoteReference">
    <w:name w:val="footnote reference"/>
    <w:basedOn w:val="DefaultParagraphFont"/>
    <w:uiPriority w:val="99"/>
    <w:semiHidden/>
    <w:unhideWhenUsed/>
    <w:rsid w:val="000D518D"/>
    <w:rPr>
      <w:vertAlign w:val="superscript"/>
    </w:rPr>
  </w:style>
  <w:style w:type="character" w:styleId="Hyperlink">
    <w:name w:val="Hyperlink"/>
    <w:basedOn w:val="DefaultParagraphFont"/>
    <w:uiPriority w:val="99"/>
    <w:unhideWhenUsed/>
    <w:rsid w:val="000D518D"/>
    <w:rPr>
      <w:color w:val="467886" w:themeColor="hyperlink"/>
      <w:u w:val="single"/>
    </w:rPr>
  </w:style>
  <w:style w:type="character" w:styleId="UnresolvedMention">
    <w:name w:val="Unresolved Mention"/>
    <w:basedOn w:val="DefaultParagraphFont"/>
    <w:uiPriority w:val="99"/>
    <w:semiHidden/>
    <w:unhideWhenUsed/>
    <w:rsid w:val="000D518D"/>
    <w:rPr>
      <w:color w:val="605E5C"/>
      <w:shd w:val="clear" w:color="auto" w:fill="E1DFDD"/>
    </w:rPr>
  </w:style>
  <w:style w:type="character" w:styleId="CommentReference">
    <w:name w:val="annotation reference"/>
    <w:basedOn w:val="DefaultParagraphFont"/>
    <w:uiPriority w:val="99"/>
    <w:semiHidden/>
    <w:unhideWhenUsed/>
    <w:rsid w:val="002D7AD0"/>
    <w:rPr>
      <w:sz w:val="16"/>
      <w:szCs w:val="16"/>
    </w:rPr>
  </w:style>
  <w:style w:type="paragraph" w:styleId="CommentText">
    <w:name w:val="annotation text"/>
    <w:basedOn w:val="Normal"/>
    <w:link w:val="CommentTextChar"/>
    <w:uiPriority w:val="99"/>
    <w:unhideWhenUsed/>
    <w:rsid w:val="002D7AD0"/>
    <w:pPr>
      <w:spacing w:line="240" w:lineRule="auto"/>
    </w:pPr>
    <w:rPr>
      <w:sz w:val="20"/>
      <w:szCs w:val="20"/>
    </w:rPr>
  </w:style>
  <w:style w:type="character" w:customStyle="1" w:styleId="CommentTextChar">
    <w:name w:val="Comment Text Char"/>
    <w:basedOn w:val="DefaultParagraphFont"/>
    <w:link w:val="CommentText"/>
    <w:uiPriority w:val="99"/>
    <w:rsid w:val="002D7AD0"/>
    <w:rPr>
      <w:sz w:val="20"/>
      <w:szCs w:val="20"/>
    </w:rPr>
  </w:style>
  <w:style w:type="paragraph" w:styleId="CommentSubject">
    <w:name w:val="annotation subject"/>
    <w:basedOn w:val="CommentText"/>
    <w:next w:val="CommentText"/>
    <w:link w:val="CommentSubjectChar"/>
    <w:uiPriority w:val="99"/>
    <w:semiHidden/>
    <w:unhideWhenUsed/>
    <w:rsid w:val="002D7AD0"/>
    <w:rPr>
      <w:b/>
      <w:bCs/>
    </w:rPr>
  </w:style>
  <w:style w:type="character" w:customStyle="1" w:styleId="CommentSubjectChar">
    <w:name w:val="Comment Subject Char"/>
    <w:basedOn w:val="CommentTextChar"/>
    <w:link w:val="CommentSubject"/>
    <w:uiPriority w:val="99"/>
    <w:semiHidden/>
    <w:rsid w:val="002D7AD0"/>
    <w:rPr>
      <w:b/>
      <w:bCs/>
      <w:sz w:val="20"/>
      <w:szCs w:val="20"/>
    </w:rPr>
  </w:style>
  <w:style w:type="paragraph" w:styleId="Revision">
    <w:name w:val="Revision"/>
    <w:hidden/>
    <w:uiPriority w:val="99"/>
    <w:semiHidden/>
    <w:rsid w:val="00C8051F"/>
    <w:pPr>
      <w:spacing w:after="0" w:line="240" w:lineRule="auto"/>
    </w:pPr>
  </w:style>
  <w:style w:type="table" w:styleId="TableGrid">
    <w:name w:val="Table Grid"/>
    <w:basedOn w:val="TableNormal"/>
    <w:uiPriority w:val="39"/>
    <w:rsid w:val="0013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4C3ED5"/>
    <w:rPr>
      <w:vertAlign w:val="superscript"/>
    </w:rPr>
  </w:style>
  <w:style w:type="character" w:customStyle="1" w:styleId="A8">
    <w:name w:val="A8"/>
    <w:uiPriority w:val="99"/>
    <w:rsid w:val="007B0483"/>
    <w:rPr>
      <w:rFonts w:cs="Frutiger 55 Roman"/>
      <w:i/>
      <w:iCs/>
      <w:color w:val="221E1F"/>
      <w:sz w:val="19"/>
      <w:szCs w:val="19"/>
    </w:rPr>
  </w:style>
  <w:style w:type="character" w:styleId="FollowedHyperlink">
    <w:name w:val="FollowedHyperlink"/>
    <w:basedOn w:val="DefaultParagraphFont"/>
    <w:uiPriority w:val="99"/>
    <w:semiHidden/>
    <w:unhideWhenUsed/>
    <w:rsid w:val="00052DA6"/>
    <w:rPr>
      <w:color w:val="96607D" w:themeColor="followedHyperlink"/>
      <w:u w:val="single"/>
    </w:rPr>
  </w:style>
  <w:style w:type="paragraph" w:styleId="NormalWeb">
    <w:name w:val="Normal (Web)"/>
    <w:basedOn w:val="Normal"/>
    <w:uiPriority w:val="99"/>
    <w:semiHidden/>
    <w:unhideWhenUsed/>
    <w:rsid w:val="002040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520">
      <w:bodyDiv w:val="1"/>
      <w:marLeft w:val="0"/>
      <w:marRight w:val="0"/>
      <w:marTop w:val="0"/>
      <w:marBottom w:val="0"/>
      <w:divBdr>
        <w:top w:val="none" w:sz="0" w:space="0" w:color="auto"/>
        <w:left w:val="none" w:sz="0" w:space="0" w:color="auto"/>
        <w:bottom w:val="none" w:sz="0" w:space="0" w:color="auto"/>
        <w:right w:val="none" w:sz="0" w:space="0" w:color="auto"/>
      </w:divBdr>
    </w:div>
    <w:div w:id="39866517">
      <w:bodyDiv w:val="1"/>
      <w:marLeft w:val="0"/>
      <w:marRight w:val="0"/>
      <w:marTop w:val="0"/>
      <w:marBottom w:val="0"/>
      <w:divBdr>
        <w:top w:val="none" w:sz="0" w:space="0" w:color="auto"/>
        <w:left w:val="none" w:sz="0" w:space="0" w:color="auto"/>
        <w:bottom w:val="none" w:sz="0" w:space="0" w:color="auto"/>
        <w:right w:val="none" w:sz="0" w:space="0" w:color="auto"/>
      </w:divBdr>
      <w:divsChild>
        <w:div w:id="1362708058">
          <w:marLeft w:val="0"/>
          <w:marRight w:val="0"/>
          <w:marTop w:val="0"/>
          <w:marBottom w:val="0"/>
          <w:divBdr>
            <w:top w:val="none" w:sz="0" w:space="0" w:color="auto"/>
            <w:left w:val="none" w:sz="0" w:space="0" w:color="auto"/>
            <w:bottom w:val="none" w:sz="0" w:space="0" w:color="auto"/>
            <w:right w:val="none" w:sz="0" w:space="0" w:color="auto"/>
          </w:divBdr>
        </w:div>
      </w:divsChild>
    </w:div>
    <w:div w:id="70545358">
      <w:bodyDiv w:val="1"/>
      <w:marLeft w:val="0"/>
      <w:marRight w:val="0"/>
      <w:marTop w:val="0"/>
      <w:marBottom w:val="0"/>
      <w:divBdr>
        <w:top w:val="none" w:sz="0" w:space="0" w:color="auto"/>
        <w:left w:val="none" w:sz="0" w:space="0" w:color="auto"/>
        <w:bottom w:val="none" w:sz="0" w:space="0" w:color="auto"/>
        <w:right w:val="none" w:sz="0" w:space="0" w:color="auto"/>
      </w:divBdr>
    </w:div>
    <w:div w:id="157963040">
      <w:bodyDiv w:val="1"/>
      <w:marLeft w:val="0"/>
      <w:marRight w:val="0"/>
      <w:marTop w:val="0"/>
      <w:marBottom w:val="0"/>
      <w:divBdr>
        <w:top w:val="none" w:sz="0" w:space="0" w:color="auto"/>
        <w:left w:val="none" w:sz="0" w:space="0" w:color="auto"/>
        <w:bottom w:val="none" w:sz="0" w:space="0" w:color="auto"/>
        <w:right w:val="none" w:sz="0" w:space="0" w:color="auto"/>
      </w:divBdr>
      <w:divsChild>
        <w:div w:id="67701167">
          <w:marLeft w:val="0"/>
          <w:marRight w:val="0"/>
          <w:marTop w:val="0"/>
          <w:marBottom w:val="0"/>
          <w:divBdr>
            <w:top w:val="none" w:sz="0" w:space="0" w:color="auto"/>
            <w:left w:val="none" w:sz="0" w:space="0" w:color="auto"/>
            <w:bottom w:val="none" w:sz="0" w:space="0" w:color="auto"/>
            <w:right w:val="none" w:sz="0" w:space="0" w:color="auto"/>
          </w:divBdr>
        </w:div>
      </w:divsChild>
    </w:div>
    <w:div w:id="179202010">
      <w:bodyDiv w:val="1"/>
      <w:marLeft w:val="0"/>
      <w:marRight w:val="0"/>
      <w:marTop w:val="0"/>
      <w:marBottom w:val="0"/>
      <w:divBdr>
        <w:top w:val="none" w:sz="0" w:space="0" w:color="auto"/>
        <w:left w:val="none" w:sz="0" w:space="0" w:color="auto"/>
        <w:bottom w:val="none" w:sz="0" w:space="0" w:color="auto"/>
        <w:right w:val="none" w:sz="0" w:space="0" w:color="auto"/>
      </w:divBdr>
      <w:divsChild>
        <w:div w:id="1297644840">
          <w:marLeft w:val="360"/>
          <w:marRight w:val="0"/>
          <w:marTop w:val="0"/>
          <w:marBottom w:val="58"/>
          <w:divBdr>
            <w:top w:val="none" w:sz="0" w:space="0" w:color="auto"/>
            <w:left w:val="none" w:sz="0" w:space="0" w:color="auto"/>
            <w:bottom w:val="none" w:sz="0" w:space="0" w:color="auto"/>
            <w:right w:val="none" w:sz="0" w:space="0" w:color="auto"/>
          </w:divBdr>
        </w:div>
      </w:divsChild>
    </w:div>
    <w:div w:id="257762876">
      <w:bodyDiv w:val="1"/>
      <w:marLeft w:val="0"/>
      <w:marRight w:val="0"/>
      <w:marTop w:val="0"/>
      <w:marBottom w:val="0"/>
      <w:divBdr>
        <w:top w:val="none" w:sz="0" w:space="0" w:color="auto"/>
        <w:left w:val="none" w:sz="0" w:space="0" w:color="auto"/>
        <w:bottom w:val="none" w:sz="0" w:space="0" w:color="auto"/>
        <w:right w:val="none" w:sz="0" w:space="0" w:color="auto"/>
      </w:divBdr>
    </w:div>
    <w:div w:id="365067063">
      <w:bodyDiv w:val="1"/>
      <w:marLeft w:val="0"/>
      <w:marRight w:val="0"/>
      <w:marTop w:val="0"/>
      <w:marBottom w:val="0"/>
      <w:divBdr>
        <w:top w:val="none" w:sz="0" w:space="0" w:color="auto"/>
        <w:left w:val="none" w:sz="0" w:space="0" w:color="auto"/>
        <w:bottom w:val="none" w:sz="0" w:space="0" w:color="auto"/>
        <w:right w:val="none" w:sz="0" w:space="0" w:color="auto"/>
      </w:divBdr>
    </w:div>
    <w:div w:id="400517903">
      <w:bodyDiv w:val="1"/>
      <w:marLeft w:val="0"/>
      <w:marRight w:val="0"/>
      <w:marTop w:val="0"/>
      <w:marBottom w:val="0"/>
      <w:divBdr>
        <w:top w:val="none" w:sz="0" w:space="0" w:color="auto"/>
        <w:left w:val="none" w:sz="0" w:space="0" w:color="auto"/>
        <w:bottom w:val="none" w:sz="0" w:space="0" w:color="auto"/>
        <w:right w:val="none" w:sz="0" w:space="0" w:color="auto"/>
      </w:divBdr>
    </w:div>
    <w:div w:id="477380135">
      <w:bodyDiv w:val="1"/>
      <w:marLeft w:val="0"/>
      <w:marRight w:val="0"/>
      <w:marTop w:val="0"/>
      <w:marBottom w:val="0"/>
      <w:divBdr>
        <w:top w:val="none" w:sz="0" w:space="0" w:color="auto"/>
        <w:left w:val="none" w:sz="0" w:space="0" w:color="auto"/>
        <w:bottom w:val="none" w:sz="0" w:space="0" w:color="auto"/>
        <w:right w:val="none" w:sz="0" w:space="0" w:color="auto"/>
      </w:divBdr>
    </w:div>
    <w:div w:id="572620618">
      <w:bodyDiv w:val="1"/>
      <w:marLeft w:val="0"/>
      <w:marRight w:val="0"/>
      <w:marTop w:val="0"/>
      <w:marBottom w:val="0"/>
      <w:divBdr>
        <w:top w:val="none" w:sz="0" w:space="0" w:color="auto"/>
        <w:left w:val="none" w:sz="0" w:space="0" w:color="auto"/>
        <w:bottom w:val="none" w:sz="0" w:space="0" w:color="auto"/>
        <w:right w:val="none" w:sz="0" w:space="0" w:color="auto"/>
      </w:divBdr>
    </w:div>
    <w:div w:id="580677019">
      <w:bodyDiv w:val="1"/>
      <w:marLeft w:val="0"/>
      <w:marRight w:val="0"/>
      <w:marTop w:val="0"/>
      <w:marBottom w:val="0"/>
      <w:divBdr>
        <w:top w:val="none" w:sz="0" w:space="0" w:color="auto"/>
        <w:left w:val="none" w:sz="0" w:space="0" w:color="auto"/>
        <w:bottom w:val="none" w:sz="0" w:space="0" w:color="auto"/>
        <w:right w:val="none" w:sz="0" w:space="0" w:color="auto"/>
      </w:divBdr>
    </w:div>
    <w:div w:id="587153432">
      <w:bodyDiv w:val="1"/>
      <w:marLeft w:val="0"/>
      <w:marRight w:val="0"/>
      <w:marTop w:val="0"/>
      <w:marBottom w:val="0"/>
      <w:divBdr>
        <w:top w:val="none" w:sz="0" w:space="0" w:color="auto"/>
        <w:left w:val="none" w:sz="0" w:space="0" w:color="auto"/>
        <w:bottom w:val="none" w:sz="0" w:space="0" w:color="auto"/>
        <w:right w:val="none" w:sz="0" w:space="0" w:color="auto"/>
      </w:divBdr>
    </w:div>
    <w:div w:id="623200495">
      <w:bodyDiv w:val="1"/>
      <w:marLeft w:val="0"/>
      <w:marRight w:val="0"/>
      <w:marTop w:val="0"/>
      <w:marBottom w:val="0"/>
      <w:divBdr>
        <w:top w:val="none" w:sz="0" w:space="0" w:color="auto"/>
        <w:left w:val="none" w:sz="0" w:space="0" w:color="auto"/>
        <w:bottom w:val="none" w:sz="0" w:space="0" w:color="auto"/>
        <w:right w:val="none" w:sz="0" w:space="0" w:color="auto"/>
      </w:divBdr>
    </w:div>
    <w:div w:id="633870815">
      <w:bodyDiv w:val="1"/>
      <w:marLeft w:val="0"/>
      <w:marRight w:val="0"/>
      <w:marTop w:val="0"/>
      <w:marBottom w:val="0"/>
      <w:divBdr>
        <w:top w:val="none" w:sz="0" w:space="0" w:color="auto"/>
        <w:left w:val="none" w:sz="0" w:space="0" w:color="auto"/>
        <w:bottom w:val="none" w:sz="0" w:space="0" w:color="auto"/>
        <w:right w:val="none" w:sz="0" w:space="0" w:color="auto"/>
      </w:divBdr>
    </w:div>
    <w:div w:id="652874428">
      <w:bodyDiv w:val="1"/>
      <w:marLeft w:val="0"/>
      <w:marRight w:val="0"/>
      <w:marTop w:val="0"/>
      <w:marBottom w:val="0"/>
      <w:divBdr>
        <w:top w:val="none" w:sz="0" w:space="0" w:color="auto"/>
        <w:left w:val="none" w:sz="0" w:space="0" w:color="auto"/>
        <w:bottom w:val="none" w:sz="0" w:space="0" w:color="auto"/>
        <w:right w:val="none" w:sz="0" w:space="0" w:color="auto"/>
      </w:divBdr>
      <w:divsChild>
        <w:div w:id="1591770899">
          <w:marLeft w:val="475"/>
          <w:marRight w:val="0"/>
          <w:marTop w:val="86"/>
          <w:marBottom w:val="120"/>
          <w:divBdr>
            <w:top w:val="none" w:sz="0" w:space="0" w:color="auto"/>
            <w:left w:val="none" w:sz="0" w:space="0" w:color="auto"/>
            <w:bottom w:val="none" w:sz="0" w:space="0" w:color="auto"/>
            <w:right w:val="none" w:sz="0" w:space="0" w:color="auto"/>
          </w:divBdr>
        </w:div>
      </w:divsChild>
    </w:div>
    <w:div w:id="669528096">
      <w:bodyDiv w:val="1"/>
      <w:marLeft w:val="0"/>
      <w:marRight w:val="0"/>
      <w:marTop w:val="0"/>
      <w:marBottom w:val="0"/>
      <w:divBdr>
        <w:top w:val="none" w:sz="0" w:space="0" w:color="auto"/>
        <w:left w:val="none" w:sz="0" w:space="0" w:color="auto"/>
        <w:bottom w:val="none" w:sz="0" w:space="0" w:color="auto"/>
        <w:right w:val="none" w:sz="0" w:space="0" w:color="auto"/>
      </w:divBdr>
    </w:div>
    <w:div w:id="697241965">
      <w:bodyDiv w:val="1"/>
      <w:marLeft w:val="0"/>
      <w:marRight w:val="0"/>
      <w:marTop w:val="0"/>
      <w:marBottom w:val="0"/>
      <w:divBdr>
        <w:top w:val="none" w:sz="0" w:space="0" w:color="auto"/>
        <w:left w:val="none" w:sz="0" w:space="0" w:color="auto"/>
        <w:bottom w:val="none" w:sz="0" w:space="0" w:color="auto"/>
        <w:right w:val="none" w:sz="0" w:space="0" w:color="auto"/>
      </w:divBdr>
    </w:div>
    <w:div w:id="730882676">
      <w:bodyDiv w:val="1"/>
      <w:marLeft w:val="0"/>
      <w:marRight w:val="0"/>
      <w:marTop w:val="0"/>
      <w:marBottom w:val="0"/>
      <w:divBdr>
        <w:top w:val="none" w:sz="0" w:space="0" w:color="auto"/>
        <w:left w:val="none" w:sz="0" w:space="0" w:color="auto"/>
        <w:bottom w:val="none" w:sz="0" w:space="0" w:color="auto"/>
        <w:right w:val="none" w:sz="0" w:space="0" w:color="auto"/>
      </w:divBdr>
      <w:divsChild>
        <w:div w:id="1058820001">
          <w:marLeft w:val="0"/>
          <w:marRight w:val="0"/>
          <w:marTop w:val="0"/>
          <w:marBottom w:val="0"/>
          <w:divBdr>
            <w:top w:val="none" w:sz="0" w:space="0" w:color="auto"/>
            <w:left w:val="none" w:sz="0" w:space="0" w:color="auto"/>
            <w:bottom w:val="none" w:sz="0" w:space="0" w:color="auto"/>
            <w:right w:val="none" w:sz="0" w:space="0" w:color="auto"/>
          </w:divBdr>
        </w:div>
      </w:divsChild>
    </w:div>
    <w:div w:id="756905404">
      <w:bodyDiv w:val="1"/>
      <w:marLeft w:val="0"/>
      <w:marRight w:val="0"/>
      <w:marTop w:val="0"/>
      <w:marBottom w:val="0"/>
      <w:divBdr>
        <w:top w:val="none" w:sz="0" w:space="0" w:color="auto"/>
        <w:left w:val="none" w:sz="0" w:space="0" w:color="auto"/>
        <w:bottom w:val="none" w:sz="0" w:space="0" w:color="auto"/>
        <w:right w:val="none" w:sz="0" w:space="0" w:color="auto"/>
      </w:divBdr>
      <w:divsChild>
        <w:div w:id="2036425698">
          <w:marLeft w:val="0"/>
          <w:marRight w:val="0"/>
          <w:marTop w:val="0"/>
          <w:marBottom w:val="0"/>
          <w:divBdr>
            <w:top w:val="none" w:sz="0" w:space="0" w:color="auto"/>
            <w:left w:val="none" w:sz="0" w:space="0" w:color="auto"/>
            <w:bottom w:val="none" w:sz="0" w:space="0" w:color="auto"/>
            <w:right w:val="none" w:sz="0" w:space="0" w:color="auto"/>
          </w:divBdr>
          <w:divsChild>
            <w:div w:id="1524976074">
              <w:marLeft w:val="0"/>
              <w:marRight w:val="0"/>
              <w:marTop w:val="0"/>
              <w:marBottom w:val="0"/>
              <w:divBdr>
                <w:top w:val="none" w:sz="0" w:space="0" w:color="auto"/>
                <w:left w:val="none" w:sz="0" w:space="0" w:color="auto"/>
                <w:bottom w:val="none" w:sz="0" w:space="0" w:color="auto"/>
                <w:right w:val="none" w:sz="0" w:space="0" w:color="auto"/>
              </w:divBdr>
              <w:divsChild>
                <w:div w:id="822039343">
                  <w:marLeft w:val="0"/>
                  <w:marRight w:val="0"/>
                  <w:marTop w:val="0"/>
                  <w:marBottom w:val="0"/>
                  <w:divBdr>
                    <w:top w:val="none" w:sz="0" w:space="0" w:color="auto"/>
                    <w:left w:val="none" w:sz="0" w:space="0" w:color="auto"/>
                    <w:bottom w:val="none" w:sz="0" w:space="0" w:color="auto"/>
                    <w:right w:val="none" w:sz="0" w:space="0" w:color="auto"/>
                  </w:divBdr>
                  <w:divsChild>
                    <w:div w:id="1151753120">
                      <w:marLeft w:val="0"/>
                      <w:marRight w:val="0"/>
                      <w:marTop w:val="0"/>
                      <w:marBottom w:val="0"/>
                      <w:divBdr>
                        <w:top w:val="none" w:sz="0" w:space="0" w:color="auto"/>
                        <w:left w:val="none" w:sz="0" w:space="0" w:color="auto"/>
                        <w:bottom w:val="none" w:sz="0" w:space="0" w:color="auto"/>
                        <w:right w:val="none" w:sz="0" w:space="0" w:color="auto"/>
                      </w:divBdr>
                      <w:divsChild>
                        <w:div w:id="1750426546">
                          <w:marLeft w:val="0"/>
                          <w:marRight w:val="0"/>
                          <w:marTop w:val="0"/>
                          <w:marBottom w:val="0"/>
                          <w:divBdr>
                            <w:top w:val="none" w:sz="0" w:space="0" w:color="auto"/>
                            <w:left w:val="none" w:sz="0" w:space="0" w:color="auto"/>
                            <w:bottom w:val="none" w:sz="0" w:space="0" w:color="auto"/>
                            <w:right w:val="none" w:sz="0" w:space="0" w:color="auto"/>
                          </w:divBdr>
                          <w:divsChild>
                            <w:div w:id="1255671341">
                              <w:marLeft w:val="0"/>
                              <w:marRight w:val="0"/>
                              <w:marTop w:val="0"/>
                              <w:marBottom w:val="0"/>
                              <w:divBdr>
                                <w:top w:val="none" w:sz="0" w:space="0" w:color="auto"/>
                                <w:left w:val="none" w:sz="0" w:space="0" w:color="auto"/>
                                <w:bottom w:val="none" w:sz="0" w:space="0" w:color="auto"/>
                                <w:right w:val="none" w:sz="0" w:space="0" w:color="auto"/>
                              </w:divBdr>
                              <w:divsChild>
                                <w:div w:id="647779920">
                                  <w:marLeft w:val="0"/>
                                  <w:marRight w:val="0"/>
                                  <w:marTop w:val="0"/>
                                  <w:marBottom w:val="0"/>
                                  <w:divBdr>
                                    <w:top w:val="none" w:sz="0" w:space="0" w:color="auto"/>
                                    <w:left w:val="none" w:sz="0" w:space="0" w:color="auto"/>
                                    <w:bottom w:val="none" w:sz="0" w:space="0" w:color="auto"/>
                                    <w:right w:val="none" w:sz="0" w:space="0" w:color="auto"/>
                                  </w:divBdr>
                                  <w:divsChild>
                                    <w:div w:id="13925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653132">
          <w:marLeft w:val="0"/>
          <w:marRight w:val="0"/>
          <w:marTop w:val="0"/>
          <w:marBottom w:val="0"/>
          <w:divBdr>
            <w:top w:val="none" w:sz="0" w:space="0" w:color="auto"/>
            <w:left w:val="none" w:sz="0" w:space="0" w:color="auto"/>
            <w:bottom w:val="none" w:sz="0" w:space="0" w:color="auto"/>
            <w:right w:val="none" w:sz="0" w:space="0" w:color="auto"/>
          </w:divBdr>
        </w:div>
      </w:divsChild>
    </w:div>
    <w:div w:id="781728298">
      <w:bodyDiv w:val="1"/>
      <w:marLeft w:val="0"/>
      <w:marRight w:val="0"/>
      <w:marTop w:val="0"/>
      <w:marBottom w:val="0"/>
      <w:divBdr>
        <w:top w:val="none" w:sz="0" w:space="0" w:color="auto"/>
        <w:left w:val="none" w:sz="0" w:space="0" w:color="auto"/>
        <w:bottom w:val="none" w:sz="0" w:space="0" w:color="auto"/>
        <w:right w:val="none" w:sz="0" w:space="0" w:color="auto"/>
      </w:divBdr>
      <w:divsChild>
        <w:div w:id="1277058213">
          <w:marLeft w:val="0"/>
          <w:marRight w:val="0"/>
          <w:marTop w:val="0"/>
          <w:marBottom w:val="0"/>
          <w:divBdr>
            <w:top w:val="none" w:sz="0" w:space="0" w:color="auto"/>
            <w:left w:val="none" w:sz="0" w:space="0" w:color="auto"/>
            <w:bottom w:val="none" w:sz="0" w:space="0" w:color="auto"/>
            <w:right w:val="none" w:sz="0" w:space="0" w:color="auto"/>
          </w:divBdr>
        </w:div>
      </w:divsChild>
    </w:div>
    <w:div w:id="811874425">
      <w:bodyDiv w:val="1"/>
      <w:marLeft w:val="0"/>
      <w:marRight w:val="0"/>
      <w:marTop w:val="0"/>
      <w:marBottom w:val="0"/>
      <w:divBdr>
        <w:top w:val="none" w:sz="0" w:space="0" w:color="auto"/>
        <w:left w:val="none" w:sz="0" w:space="0" w:color="auto"/>
        <w:bottom w:val="none" w:sz="0" w:space="0" w:color="auto"/>
        <w:right w:val="none" w:sz="0" w:space="0" w:color="auto"/>
      </w:divBdr>
    </w:div>
    <w:div w:id="942302486">
      <w:bodyDiv w:val="1"/>
      <w:marLeft w:val="0"/>
      <w:marRight w:val="0"/>
      <w:marTop w:val="0"/>
      <w:marBottom w:val="0"/>
      <w:divBdr>
        <w:top w:val="none" w:sz="0" w:space="0" w:color="auto"/>
        <w:left w:val="none" w:sz="0" w:space="0" w:color="auto"/>
        <w:bottom w:val="none" w:sz="0" w:space="0" w:color="auto"/>
        <w:right w:val="none" w:sz="0" w:space="0" w:color="auto"/>
      </w:divBdr>
    </w:div>
    <w:div w:id="976838472">
      <w:bodyDiv w:val="1"/>
      <w:marLeft w:val="0"/>
      <w:marRight w:val="0"/>
      <w:marTop w:val="0"/>
      <w:marBottom w:val="0"/>
      <w:divBdr>
        <w:top w:val="none" w:sz="0" w:space="0" w:color="auto"/>
        <w:left w:val="none" w:sz="0" w:space="0" w:color="auto"/>
        <w:bottom w:val="none" w:sz="0" w:space="0" w:color="auto"/>
        <w:right w:val="none" w:sz="0" w:space="0" w:color="auto"/>
      </w:divBdr>
    </w:div>
    <w:div w:id="1051996246">
      <w:bodyDiv w:val="1"/>
      <w:marLeft w:val="0"/>
      <w:marRight w:val="0"/>
      <w:marTop w:val="0"/>
      <w:marBottom w:val="0"/>
      <w:divBdr>
        <w:top w:val="none" w:sz="0" w:space="0" w:color="auto"/>
        <w:left w:val="none" w:sz="0" w:space="0" w:color="auto"/>
        <w:bottom w:val="none" w:sz="0" w:space="0" w:color="auto"/>
        <w:right w:val="none" w:sz="0" w:space="0" w:color="auto"/>
      </w:divBdr>
    </w:div>
    <w:div w:id="1167483232">
      <w:bodyDiv w:val="1"/>
      <w:marLeft w:val="0"/>
      <w:marRight w:val="0"/>
      <w:marTop w:val="0"/>
      <w:marBottom w:val="0"/>
      <w:divBdr>
        <w:top w:val="none" w:sz="0" w:space="0" w:color="auto"/>
        <w:left w:val="none" w:sz="0" w:space="0" w:color="auto"/>
        <w:bottom w:val="none" w:sz="0" w:space="0" w:color="auto"/>
        <w:right w:val="none" w:sz="0" w:space="0" w:color="auto"/>
      </w:divBdr>
    </w:div>
    <w:div w:id="1176336244">
      <w:bodyDiv w:val="1"/>
      <w:marLeft w:val="0"/>
      <w:marRight w:val="0"/>
      <w:marTop w:val="0"/>
      <w:marBottom w:val="0"/>
      <w:divBdr>
        <w:top w:val="none" w:sz="0" w:space="0" w:color="auto"/>
        <w:left w:val="none" w:sz="0" w:space="0" w:color="auto"/>
        <w:bottom w:val="none" w:sz="0" w:space="0" w:color="auto"/>
        <w:right w:val="none" w:sz="0" w:space="0" w:color="auto"/>
      </w:divBdr>
    </w:div>
    <w:div w:id="1226457428">
      <w:bodyDiv w:val="1"/>
      <w:marLeft w:val="0"/>
      <w:marRight w:val="0"/>
      <w:marTop w:val="0"/>
      <w:marBottom w:val="0"/>
      <w:divBdr>
        <w:top w:val="none" w:sz="0" w:space="0" w:color="auto"/>
        <w:left w:val="none" w:sz="0" w:space="0" w:color="auto"/>
        <w:bottom w:val="none" w:sz="0" w:space="0" w:color="auto"/>
        <w:right w:val="none" w:sz="0" w:space="0" w:color="auto"/>
      </w:divBdr>
    </w:div>
    <w:div w:id="1227498396">
      <w:bodyDiv w:val="1"/>
      <w:marLeft w:val="0"/>
      <w:marRight w:val="0"/>
      <w:marTop w:val="0"/>
      <w:marBottom w:val="0"/>
      <w:divBdr>
        <w:top w:val="none" w:sz="0" w:space="0" w:color="auto"/>
        <w:left w:val="none" w:sz="0" w:space="0" w:color="auto"/>
        <w:bottom w:val="none" w:sz="0" w:space="0" w:color="auto"/>
        <w:right w:val="none" w:sz="0" w:space="0" w:color="auto"/>
      </w:divBdr>
    </w:div>
    <w:div w:id="1243837960">
      <w:bodyDiv w:val="1"/>
      <w:marLeft w:val="0"/>
      <w:marRight w:val="0"/>
      <w:marTop w:val="0"/>
      <w:marBottom w:val="0"/>
      <w:divBdr>
        <w:top w:val="none" w:sz="0" w:space="0" w:color="auto"/>
        <w:left w:val="none" w:sz="0" w:space="0" w:color="auto"/>
        <w:bottom w:val="none" w:sz="0" w:space="0" w:color="auto"/>
        <w:right w:val="none" w:sz="0" w:space="0" w:color="auto"/>
      </w:divBdr>
    </w:div>
    <w:div w:id="1305890935">
      <w:bodyDiv w:val="1"/>
      <w:marLeft w:val="0"/>
      <w:marRight w:val="0"/>
      <w:marTop w:val="0"/>
      <w:marBottom w:val="0"/>
      <w:divBdr>
        <w:top w:val="none" w:sz="0" w:space="0" w:color="auto"/>
        <w:left w:val="none" w:sz="0" w:space="0" w:color="auto"/>
        <w:bottom w:val="none" w:sz="0" w:space="0" w:color="auto"/>
        <w:right w:val="none" w:sz="0" w:space="0" w:color="auto"/>
      </w:divBdr>
    </w:div>
    <w:div w:id="1433548978">
      <w:bodyDiv w:val="1"/>
      <w:marLeft w:val="0"/>
      <w:marRight w:val="0"/>
      <w:marTop w:val="0"/>
      <w:marBottom w:val="0"/>
      <w:divBdr>
        <w:top w:val="none" w:sz="0" w:space="0" w:color="auto"/>
        <w:left w:val="none" w:sz="0" w:space="0" w:color="auto"/>
        <w:bottom w:val="none" w:sz="0" w:space="0" w:color="auto"/>
        <w:right w:val="none" w:sz="0" w:space="0" w:color="auto"/>
      </w:divBdr>
    </w:div>
    <w:div w:id="1466119042">
      <w:bodyDiv w:val="1"/>
      <w:marLeft w:val="0"/>
      <w:marRight w:val="0"/>
      <w:marTop w:val="0"/>
      <w:marBottom w:val="0"/>
      <w:divBdr>
        <w:top w:val="none" w:sz="0" w:space="0" w:color="auto"/>
        <w:left w:val="none" w:sz="0" w:space="0" w:color="auto"/>
        <w:bottom w:val="none" w:sz="0" w:space="0" w:color="auto"/>
        <w:right w:val="none" w:sz="0" w:space="0" w:color="auto"/>
      </w:divBdr>
    </w:div>
    <w:div w:id="1522432936">
      <w:bodyDiv w:val="1"/>
      <w:marLeft w:val="0"/>
      <w:marRight w:val="0"/>
      <w:marTop w:val="0"/>
      <w:marBottom w:val="0"/>
      <w:divBdr>
        <w:top w:val="none" w:sz="0" w:space="0" w:color="auto"/>
        <w:left w:val="none" w:sz="0" w:space="0" w:color="auto"/>
        <w:bottom w:val="none" w:sz="0" w:space="0" w:color="auto"/>
        <w:right w:val="none" w:sz="0" w:space="0" w:color="auto"/>
      </w:divBdr>
    </w:div>
    <w:div w:id="1572350547">
      <w:bodyDiv w:val="1"/>
      <w:marLeft w:val="0"/>
      <w:marRight w:val="0"/>
      <w:marTop w:val="0"/>
      <w:marBottom w:val="0"/>
      <w:divBdr>
        <w:top w:val="none" w:sz="0" w:space="0" w:color="auto"/>
        <w:left w:val="none" w:sz="0" w:space="0" w:color="auto"/>
        <w:bottom w:val="none" w:sz="0" w:space="0" w:color="auto"/>
        <w:right w:val="none" w:sz="0" w:space="0" w:color="auto"/>
      </w:divBdr>
    </w:div>
    <w:div w:id="1661886021">
      <w:bodyDiv w:val="1"/>
      <w:marLeft w:val="0"/>
      <w:marRight w:val="0"/>
      <w:marTop w:val="0"/>
      <w:marBottom w:val="0"/>
      <w:divBdr>
        <w:top w:val="none" w:sz="0" w:space="0" w:color="auto"/>
        <w:left w:val="none" w:sz="0" w:space="0" w:color="auto"/>
        <w:bottom w:val="none" w:sz="0" w:space="0" w:color="auto"/>
        <w:right w:val="none" w:sz="0" w:space="0" w:color="auto"/>
      </w:divBdr>
    </w:div>
    <w:div w:id="1824271247">
      <w:bodyDiv w:val="1"/>
      <w:marLeft w:val="0"/>
      <w:marRight w:val="0"/>
      <w:marTop w:val="0"/>
      <w:marBottom w:val="0"/>
      <w:divBdr>
        <w:top w:val="none" w:sz="0" w:space="0" w:color="auto"/>
        <w:left w:val="none" w:sz="0" w:space="0" w:color="auto"/>
        <w:bottom w:val="none" w:sz="0" w:space="0" w:color="auto"/>
        <w:right w:val="none" w:sz="0" w:space="0" w:color="auto"/>
      </w:divBdr>
    </w:div>
    <w:div w:id="1903248938">
      <w:bodyDiv w:val="1"/>
      <w:marLeft w:val="0"/>
      <w:marRight w:val="0"/>
      <w:marTop w:val="0"/>
      <w:marBottom w:val="0"/>
      <w:divBdr>
        <w:top w:val="none" w:sz="0" w:space="0" w:color="auto"/>
        <w:left w:val="none" w:sz="0" w:space="0" w:color="auto"/>
        <w:bottom w:val="none" w:sz="0" w:space="0" w:color="auto"/>
        <w:right w:val="none" w:sz="0" w:space="0" w:color="auto"/>
      </w:divBdr>
      <w:divsChild>
        <w:div w:id="1841845350">
          <w:marLeft w:val="0"/>
          <w:marRight w:val="0"/>
          <w:marTop w:val="0"/>
          <w:marBottom w:val="0"/>
          <w:divBdr>
            <w:top w:val="none" w:sz="0" w:space="0" w:color="auto"/>
            <w:left w:val="none" w:sz="0" w:space="0" w:color="auto"/>
            <w:bottom w:val="none" w:sz="0" w:space="0" w:color="auto"/>
            <w:right w:val="none" w:sz="0" w:space="0" w:color="auto"/>
          </w:divBdr>
          <w:divsChild>
            <w:div w:id="184296236">
              <w:marLeft w:val="0"/>
              <w:marRight w:val="0"/>
              <w:marTop w:val="0"/>
              <w:marBottom w:val="0"/>
              <w:divBdr>
                <w:top w:val="none" w:sz="0" w:space="0" w:color="auto"/>
                <w:left w:val="none" w:sz="0" w:space="0" w:color="auto"/>
                <w:bottom w:val="none" w:sz="0" w:space="0" w:color="auto"/>
                <w:right w:val="none" w:sz="0" w:space="0" w:color="auto"/>
              </w:divBdr>
              <w:divsChild>
                <w:div w:id="882522833">
                  <w:marLeft w:val="0"/>
                  <w:marRight w:val="0"/>
                  <w:marTop w:val="0"/>
                  <w:marBottom w:val="0"/>
                  <w:divBdr>
                    <w:top w:val="none" w:sz="0" w:space="0" w:color="auto"/>
                    <w:left w:val="none" w:sz="0" w:space="0" w:color="auto"/>
                    <w:bottom w:val="none" w:sz="0" w:space="0" w:color="auto"/>
                    <w:right w:val="none" w:sz="0" w:space="0" w:color="auto"/>
                  </w:divBdr>
                  <w:divsChild>
                    <w:div w:id="2087532679">
                      <w:marLeft w:val="0"/>
                      <w:marRight w:val="0"/>
                      <w:marTop w:val="0"/>
                      <w:marBottom w:val="0"/>
                      <w:divBdr>
                        <w:top w:val="none" w:sz="0" w:space="0" w:color="auto"/>
                        <w:left w:val="none" w:sz="0" w:space="0" w:color="auto"/>
                        <w:bottom w:val="none" w:sz="0" w:space="0" w:color="auto"/>
                        <w:right w:val="none" w:sz="0" w:space="0" w:color="auto"/>
                      </w:divBdr>
                      <w:divsChild>
                        <w:div w:id="1298339378">
                          <w:marLeft w:val="0"/>
                          <w:marRight w:val="0"/>
                          <w:marTop w:val="0"/>
                          <w:marBottom w:val="0"/>
                          <w:divBdr>
                            <w:top w:val="none" w:sz="0" w:space="0" w:color="auto"/>
                            <w:left w:val="none" w:sz="0" w:space="0" w:color="auto"/>
                            <w:bottom w:val="none" w:sz="0" w:space="0" w:color="auto"/>
                            <w:right w:val="none" w:sz="0" w:space="0" w:color="auto"/>
                          </w:divBdr>
                          <w:divsChild>
                            <w:div w:id="1398212210">
                              <w:marLeft w:val="0"/>
                              <w:marRight w:val="0"/>
                              <w:marTop w:val="0"/>
                              <w:marBottom w:val="0"/>
                              <w:divBdr>
                                <w:top w:val="none" w:sz="0" w:space="0" w:color="auto"/>
                                <w:left w:val="none" w:sz="0" w:space="0" w:color="auto"/>
                                <w:bottom w:val="none" w:sz="0" w:space="0" w:color="auto"/>
                                <w:right w:val="none" w:sz="0" w:space="0" w:color="auto"/>
                              </w:divBdr>
                              <w:divsChild>
                                <w:div w:id="118691740">
                                  <w:marLeft w:val="0"/>
                                  <w:marRight w:val="0"/>
                                  <w:marTop w:val="0"/>
                                  <w:marBottom w:val="0"/>
                                  <w:divBdr>
                                    <w:top w:val="none" w:sz="0" w:space="0" w:color="auto"/>
                                    <w:left w:val="none" w:sz="0" w:space="0" w:color="auto"/>
                                    <w:bottom w:val="none" w:sz="0" w:space="0" w:color="auto"/>
                                    <w:right w:val="none" w:sz="0" w:space="0" w:color="auto"/>
                                  </w:divBdr>
                                  <w:divsChild>
                                    <w:div w:id="202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24787">
          <w:marLeft w:val="0"/>
          <w:marRight w:val="0"/>
          <w:marTop w:val="0"/>
          <w:marBottom w:val="0"/>
          <w:divBdr>
            <w:top w:val="none" w:sz="0" w:space="0" w:color="auto"/>
            <w:left w:val="none" w:sz="0" w:space="0" w:color="auto"/>
            <w:bottom w:val="none" w:sz="0" w:space="0" w:color="auto"/>
            <w:right w:val="none" w:sz="0" w:space="0" w:color="auto"/>
          </w:divBdr>
        </w:div>
      </w:divsChild>
    </w:div>
    <w:div w:id="1997104177">
      <w:bodyDiv w:val="1"/>
      <w:marLeft w:val="0"/>
      <w:marRight w:val="0"/>
      <w:marTop w:val="0"/>
      <w:marBottom w:val="0"/>
      <w:divBdr>
        <w:top w:val="none" w:sz="0" w:space="0" w:color="auto"/>
        <w:left w:val="none" w:sz="0" w:space="0" w:color="auto"/>
        <w:bottom w:val="none" w:sz="0" w:space="0" w:color="auto"/>
        <w:right w:val="none" w:sz="0" w:space="0" w:color="auto"/>
      </w:divBdr>
    </w:div>
    <w:div w:id="2058311987">
      <w:bodyDiv w:val="1"/>
      <w:marLeft w:val="0"/>
      <w:marRight w:val="0"/>
      <w:marTop w:val="0"/>
      <w:marBottom w:val="0"/>
      <w:divBdr>
        <w:top w:val="none" w:sz="0" w:space="0" w:color="auto"/>
        <w:left w:val="none" w:sz="0" w:space="0" w:color="auto"/>
        <w:bottom w:val="none" w:sz="0" w:space="0" w:color="auto"/>
        <w:right w:val="none" w:sz="0" w:space="0" w:color="auto"/>
      </w:divBdr>
    </w:div>
    <w:div w:id="2103991025">
      <w:bodyDiv w:val="1"/>
      <w:marLeft w:val="0"/>
      <w:marRight w:val="0"/>
      <w:marTop w:val="0"/>
      <w:marBottom w:val="0"/>
      <w:divBdr>
        <w:top w:val="none" w:sz="0" w:space="0" w:color="auto"/>
        <w:left w:val="none" w:sz="0" w:space="0" w:color="auto"/>
        <w:bottom w:val="none" w:sz="0" w:space="0" w:color="auto"/>
        <w:right w:val="none" w:sz="0" w:space="0" w:color="auto"/>
      </w:divBdr>
      <w:divsChild>
        <w:div w:id="737552954">
          <w:marLeft w:val="360"/>
          <w:marRight w:val="0"/>
          <w:marTop w:val="0"/>
          <w:marBottom w:val="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BFF1-5FAC-4D0D-918B-3ABFAA936F62}">
  <ds:schemaRefs>
    <ds:schemaRef ds:uri="http://schemas.openxmlformats.org/officeDocument/2006/bibliography"/>
  </ds:schemaRefs>
</ds:datastoreItem>
</file>

<file path=docMetadata/LabelInfo.xml><?xml version="1.0" encoding="utf-8"?>
<clbl:labelList xmlns:clbl="http://schemas.microsoft.com/office/2020/mipLabelMetadata">
  <clbl:label id="{11523292-2dda-4261-9b96-932138f0640a}" enabled="1" method="Privileged" siteId="{7e306363-9dee-4b8d-8a6b-4fee706b37f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73394</Words>
  <Characters>418351</Characters>
  <Application>Microsoft Office Word</Application>
  <DocSecurity>4</DocSecurity>
  <Lines>3486</Lines>
  <Paragraphs>981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Mohan</dc:creator>
  <cp:keywords/>
  <dc:description/>
  <cp:lastModifiedBy>James Browne</cp:lastModifiedBy>
  <cp:revision>2</cp:revision>
  <cp:lastPrinted>2025-03-12T12:10:00Z</cp:lastPrinted>
  <dcterms:created xsi:type="dcterms:W3CDTF">2025-03-14T18:39:00Z</dcterms:created>
  <dcterms:modified xsi:type="dcterms:W3CDTF">2025-03-14T18:39:00Z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92c31492-0db8-32da-8916-83ca558b6643</vt:lpwstr>
  </property>
  <property fmtid="{D5CDD505-2E9C-101B-9397-08002B2CF9AE}" pid="4" name="Mendeley Citation Style_1">
    <vt:lpwstr>http://www.zotero.org/styles/elsevier-harvard</vt:lpwstr>
  </property>
  <property fmtid="{D5CDD505-2E9C-101B-9397-08002B2CF9AE}" pid="5" name="Mendeley Recent Style Id 0_1">
    <vt:lpwstr>http://www.zotero.org/styles/harvard-cite-them-right</vt:lpwstr>
  </property>
  <property fmtid="{D5CDD505-2E9C-101B-9397-08002B2CF9AE}" pid="6" name="Mendeley Recent Style Name 0_1">
    <vt:lpwstr>Cite Them Right 12th edition - Harvard</vt:lpwstr>
  </property>
  <property fmtid="{D5CDD505-2E9C-101B-9397-08002B2CF9AE}" pid="7" name="Mendeley Recent Style Id 1_1">
    <vt:lpwstr>http://www.zotero.org/styles/harvard-cite-them-right-no-et-al</vt:lpwstr>
  </property>
  <property fmtid="{D5CDD505-2E9C-101B-9397-08002B2CF9AE}" pid="8" name="Mendeley Recent Style Name 1_1">
    <vt:lpwstr>Cite Them Right 12th edition - Harvard (no "et al.")</vt:lpwstr>
  </property>
  <property fmtid="{D5CDD505-2E9C-101B-9397-08002B2CF9AE}" pid="9" name="Mendeley Recent Style Id 2_1">
    <vt:lpwstr>http://www.zotero.org/styles/elsevier-harvard</vt:lpwstr>
  </property>
  <property fmtid="{D5CDD505-2E9C-101B-9397-08002B2CF9AE}" pid="10" name="Mendeley Recent Style Name 2_1">
    <vt:lpwstr>Elsevier - Harvard (with titles)</vt:lpwstr>
  </property>
  <property fmtid="{D5CDD505-2E9C-101B-9397-08002B2CF9AE}" pid="11" name="Mendeley Recent Style Id 3_1">
    <vt:lpwstr>http://www.zotero.org/styles/emerald-harvard</vt:lpwstr>
  </property>
  <property fmtid="{D5CDD505-2E9C-101B-9397-08002B2CF9AE}" pid="12" name="Mendeley Recent Style Name 3_1">
    <vt:lpwstr>Emerald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http://www.zotero.org/styles/public-health</vt:lpwstr>
  </property>
  <property fmtid="{D5CDD505-2E9C-101B-9397-08002B2CF9AE}" pid="24" name="Mendeley Recent Style Name 9_1">
    <vt:lpwstr>Public Health</vt:lpwstr>
  </property>
</Properties>
</file>